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00" w:type="dxa"/>
        <w:tblCellSpacing w:w="15" w:type="dxa"/>
        <w:tblBorders>
          <w:top w:val="single" w:sz="6" w:space="0" w:color="D8DDE8"/>
          <w:left w:val="single" w:sz="6" w:space="0" w:color="D8DDE8"/>
          <w:bottom w:val="single" w:sz="2" w:space="0" w:color="D8DDE8"/>
          <w:right w:val="single" w:sz="2" w:space="0" w:color="D8DD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7489"/>
      </w:tblGrid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b/>
                <w:bCs/>
                <w:color w:val="283044"/>
                <w:sz w:val="26"/>
                <w:szCs w:val="26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b/>
                <w:bCs/>
                <w:color w:val="283044"/>
                <w:sz w:val="26"/>
                <w:szCs w:val="26"/>
                <w:bdr w:val="none" w:sz="0" w:space="0" w:color="auto" w:frame="1"/>
                <w:lang w:eastAsia="ru-RU"/>
              </w:rPr>
              <w:t>Событие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b/>
                <w:bCs/>
                <w:color w:val="283044"/>
                <w:sz w:val="26"/>
                <w:szCs w:val="26"/>
                <w:bdr w:val="none" w:sz="0" w:space="0" w:color="auto" w:frame="1"/>
                <w:lang w:eastAsia="ru-RU"/>
              </w:rPr>
              <w:t>Отношения с Казанским ханством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1439 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первый поход казанских татар на Москву, начало попыток подчинить её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1445 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чтобы выкупиться из плена Василий II кроме самого выкупа дал казанцам дань, в русские города прибыли их чиновники – началась торговля между государствами, однако от неё больше богатела Казань, а Москва оставалась в подчинённом положении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1467 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 xml:space="preserve">поход московских войск на Казань (неудачная попытка посадить на престол ранее бежавшего из Казани царевича </w:t>
            </w:r>
            <w:proofErr w:type="spellStart"/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Касима</w:t>
            </w:r>
            <w:proofErr w:type="spellEnd"/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): начало наступательных походов Москвы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1487 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московские войска взяли Казань и посадили на престол Мухаммед-Амина, который дружил с Москвой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1505 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видимо, не без ведома Мухаммеда-Амина началось избиение русских купцов в Казани, результатом стала череда войн против Москвы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1552 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взятие Казани русские войсками и уничтожение ханства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b/>
                <w:bCs/>
                <w:color w:val="283044"/>
                <w:sz w:val="26"/>
                <w:szCs w:val="26"/>
                <w:bdr w:val="none" w:sz="0" w:space="0" w:color="auto" w:frame="1"/>
                <w:lang w:eastAsia="ru-RU"/>
              </w:rPr>
              <w:t>Отношения с Крымским ханством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1480 год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союз Крыма и Москвы, начало ему положил союз против Великого княжества Литовского и Большой Орды, который вначале помешал Литве напасть на Москву одновременно с Большой Ордой, а потом заставил хана Ахмата уйти от реки Угры, благодаря чему стояние на ней закончилось победой московских войск</w:t>
            </w:r>
          </w:p>
        </w:tc>
      </w:tr>
      <w:tr w:rsidR="00BB6B32" w:rsidRPr="00BB6B32" w:rsidTr="00BB6B32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рубеж XV-XVI веков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B6B32" w:rsidRPr="00BB6B32" w:rsidRDefault="00BB6B32" w:rsidP="00BB6B32">
            <w:pPr>
              <w:spacing w:after="0" w:line="240" w:lineRule="auto"/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</w:pPr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 xml:space="preserve">с ослаблением Большой Орды Крымское ханство больше не нуждалось в Московском государстве как в союзнике и стало совершать на него частые набеги, которые заходили глубь российских земель (в 1571 году хан </w:t>
            </w:r>
            <w:proofErr w:type="spellStart"/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Девлет</w:t>
            </w:r>
            <w:proofErr w:type="spellEnd"/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>Герей</w:t>
            </w:r>
            <w:proofErr w:type="spellEnd"/>
            <w:r w:rsidRPr="00BB6B32">
              <w:rPr>
                <w:rFonts w:ascii="inherit" w:eastAsia="Times New Roman" w:hAnsi="inherit" w:cs="Segoe UI"/>
                <w:color w:val="283044"/>
                <w:sz w:val="26"/>
                <w:szCs w:val="26"/>
                <w:lang w:eastAsia="ru-RU"/>
              </w:rPr>
              <w:t xml:space="preserve"> даже сжёг Москву).</w:t>
            </w:r>
          </w:p>
        </w:tc>
      </w:tr>
    </w:tbl>
    <w:p w:rsidR="00BB6B32" w:rsidRDefault="00BB6B32">
      <w:bookmarkStart w:id="0" w:name="_GoBack"/>
      <w:bookmarkEnd w:id="0"/>
    </w:p>
    <w:sectPr w:rsidR="00B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32"/>
    <w:rsid w:val="00B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09F15-7588-4CBA-81B2-9AAF30E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2020-05-13T07:41:00Z</dcterms:created>
  <dcterms:modified xsi:type="dcterms:W3CDTF">2020-05-13T07:42:00Z</dcterms:modified>
</cp:coreProperties>
</file>