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7E6" w:rsidRDefault="00E441C4">
      <w:r>
        <w:rPr>
          <w:noProof/>
          <w:lang w:eastAsia="ru-RU"/>
        </w:rPr>
        <w:drawing>
          <wp:inline distT="0" distB="0" distL="0" distR="0" wp14:anchorId="2484A202" wp14:editId="370C3C3D">
            <wp:extent cx="1790700" cy="390525"/>
            <wp:effectExtent l="0" t="0" r="0" b="9525"/>
            <wp:docPr id="1" name="Рисунок 1" descr="http://www.mathprofi.ru/i/nepreryvnost_funkcii_i_tochki_razryva_clip_image1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thprofi.ru/i/nepreryvnost_funkcii_i_tochki_razryva_clip_image165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C4" w:rsidRPr="00E441C4" w:rsidRDefault="00E441C4" w:rsidP="00E441C4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E441C4">
        <w:rPr>
          <w:color w:val="000000"/>
        </w:rPr>
        <w:t xml:space="preserve">Вычислим односторонние </w:t>
      </w:r>
      <w:proofErr w:type="gramStart"/>
      <w:r w:rsidRPr="00E441C4">
        <w:rPr>
          <w:color w:val="000000"/>
        </w:rPr>
        <w:t>пределы:</w:t>
      </w:r>
      <w:r w:rsidRPr="00E441C4">
        <w:rPr>
          <w:color w:val="000000"/>
        </w:rPr>
        <w:br/>
      </w:r>
      <w:r w:rsidRPr="00E441C4">
        <w:rPr>
          <w:noProof/>
          <w:color w:val="000000"/>
        </w:rPr>
        <w:drawing>
          <wp:inline distT="0" distB="0" distL="0" distR="0" wp14:anchorId="37ACAA85" wp14:editId="121941AF">
            <wp:extent cx="2809875" cy="790575"/>
            <wp:effectExtent l="0" t="0" r="9525" b="9525"/>
            <wp:docPr id="3" name="Рисунок 3" descr="http://www.mathprofi.ru/i/nepreryvnost_funkcii_i_tochki_razryva_clip_image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thprofi.ru/i/nepreryvnost_funkcii_i_tochki_razryva_clip_image16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1C4">
        <w:rPr>
          <w:color w:val="000000"/>
        </w:rPr>
        <w:br/>
        <w:t>Односторонние</w:t>
      </w:r>
      <w:proofErr w:type="gramEnd"/>
      <w:r w:rsidRPr="00E441C4">
        <w:rPr>
          <w:color w:val="000000"/>
        </w:rPr>
        <w:t xml:space="preserve"> пределы конечны и равны.</w:t>
      </w:r>
    </w:p>
    <w:p w:rsidR="00E441C4" w:rsidRPr="00E441C4" w:rsidRDefault="00E441C4" w:rsidP="00E441C4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E441C4">
        <w:rPr>
          <w:color w:val="000000"/>
        </w:rPr>
        <w:t xml:space="preserve">Таким образом, в </w:t>
      </w:r>
      <w:proofErr w:type="gramStart"/>
      <w:r w:rsidRPr="00E441C4">
        <w:rPr>
          <w:color w:val="000000"/>
        </w:rPr>
        <w:t>точке </w:t>
      </w:r>
      <w:r w:rsidRPr="00E441C4">
        <w:rPr>
          <w:noProof/>
          <w:color w:val="000000"/>
        </w:rPr>
        <w:drawing>
          <wp:inline distT="0" distB="0" distL="0" distR="0" wp14:anchorId="76166F8E" wp14:editId="1A5E9BA8">
            <wp:extent cx="333375" cy="180975"/>
            <wp:effectExtent l="0" t="0" r="9525" b="9525"/>
            <wp:docPr id="4" name="Рисунок 4" descr="http://www.mathprofi.ru/i/nepreryvnost_funkcii_i_tochki_razryva_clip_image16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thprofi.ru/i/nepreryvnost_funkcii_i_tochki_razryva_clip_image161_000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1C4">
        <w:rPr>
          <w:color w:val="000000"/>
        </w:rPr>
        <w:t> функция</w:t>
      </w:r>
      <w:proofErr w:type="gramEnd"/>
      <w:r w:rsidRPr="00E441C4">
        <w:rPr>
          <w:color w:val="000000"/>
        </w:rPr>
        <w:t xml:space="preserve"> терпит устранимый разрыв.</w:t>
      </w:r>
    </w:p>
    <w:p w:rsidR="00E441C4" w:rsidRPr="00E441C4" w:rsidRDefault="00E441C4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2F9036E" wp14:editId="47773236">
            <wp:extent cx="2657475" cy="2543175"/>
            <wp:effectExtent l="0" t="0" r="9525" b="9525"/>
            <wp:docPr id="5" name="Рисунок 5" descr="Квадратичная функция с точкой устранимого разры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вадратичная функция с точкой устранимого разры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41C4" w:rsidRPr="00E44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C4"/>
    <w:rsid w:val="009737E6"/>
    <w:rsid w:val="00E4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3E4B3-2A9F-49CD-830E-A929D9F7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9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2017-07-14T04:57:00Z</dcterms:created>
  <dcterms:modified xsi:type="dcterms:W3CDTF">2017-07-14T05:01:00Z</dcterms:modified>
</cp:coreProperties>
</file>