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highlight w:val="white"/>
          <w:rtl w:val="0"/>
        </w:rPr>
        <w:t xml:space="preserve">Астрономия</w:t>
      </w:r>
    </w:p>
    <w:p w:rsidR="00000000" w:rsidDel="00000000" w:rsidP="00000000" w:rsidRDefault="00000000" w:rsidRPr="00000000" w14:paraId="00000002">
      <w:pPr>
        <w:spacing w:line="240" w:lineRule="auto"/>
        <w:ind w:left="0" w:firstLine="566.929133858267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highlight w:val="white"/>
          <w:rtl w:val="0"/>
        </w:rPr>
        <w:t xml:space="preserve">Астрономия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highlight w:val="white"/>
          <w:rtl w:val="0"/>
        </w:rPr>
        <w:t xml:space="preserve">это наука о расположении, строении, свойствах, происхождении, движении и развитии космических тел.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К таким телам относятся звезды, планеты, метеориты и так далее, а также образованные ими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системы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звёздные скопления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u w:val="single"/>
          <w:rtl w:val="0"/>
        </w:rPr>
        <w:t xml:space="preserve">галактики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и вся Вселенная в целом.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260513</wp:posOffset>
            </wp:positionH>
            <wp:positionV relativeFrom="paragraph">
              <wp:posOffset>1181100</wp:posOffset>
            </wp:positionV>
            <wp:extent cx="5210175" cy="341947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419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