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16F" w:rsidRPr="00BF00C3" w:rsidRDefault="00F8016F" w:rsidP="00F8016F">
      <w:pPr>
        <w:jc w:val="both"/>
      </w:pPr>
      <w:r w:rsidRPr="00BF00C3">
        <w:t>ПРИМЕР РЕШЕНИЯ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 xml:space="preserve">Найти оценки для параметров модели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x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x+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 w:rsidRPr="00BF00C3">
        <w:t xml:space="preserve"> по точкам (табл. 1.1), а также построить график функции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BF00C3">
        <w:t xml:space="preserve"> и нанести исходные точки.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>Таблица 1.1 — Исходные точки для построения кривой МНК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F8016F" w:rsidRPr="00BF00C3" w:rsidTr="009065FC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both"/>
            </w:pPr>
            <w:r w:rsidRPr="00BF00C3">
              <w:t>X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both"/>
            </w:pPr>
            <w:r w:rsidRPr="00BF00C3">
              <w:t>1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both"/>
            </w:pPr>
            <w:r w:rsidRPr="00BF00C3">
              <w:t>2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both"/>
            </w:pPr>
            <w:r w:rsidRPr="00BF00C3">
              <w:t>3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both"/>
            </w:pPr>
            <w:r w:rsidRPr="00BF00C3">
              <w:t>4</w:t>
            </w:r>
          </w:p>
        </w:tc>
      </w:tr>
      <w:tr w:rsidR="00F8016F" w:rsidRPr="00BF00C3" w:rsidTr="009065FC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both"/>
            </w:pPr>
            <w:r w:rsidRPr="00BF00C3">
              <w:t>Y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both"/>
            </w:pPr>
            <w:r w:rsidRPr="00BF00C3">
              <w:t>1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both"/>
            </w:pPr>
            <w:r w:rsidRPr="00BF00C3">
              <w:t>1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both"/>
            </w:pPr>
            <w:r w:rsidRPr="00BF00C3"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both"/>
            </w:pPr>
            <w:r w:rsidRPr="00BF00C3">
              <w:t>8</w:t>
            </w:r>
          </w:p>
        </w:tc>
      </w:tr>
    </w:tbl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>Очевидно, что в качестве базисных функций необходимо выбрать</w:t>
      </w:r>
    </w:p>
    <w:p w:rsidR="00F8016F" w:rsidRPr="00BF00C3" w:rsidRDefault="00F8016F" w:rsidP="00F8016F">
      <w:pPr>
        <w:jc w:val="both"/>
      </w:pPr>
      <w:r w:rsidRPr="00BF00C3">
        <w:rPr>
          <w:noProof/>
          <w:lang w:eastAsia="ru-RU" w:bidi="ar-SA"/>
        </w:rPr>
        <w:drawing>
          <wp:anchor distT="0" distB="0" distL="0" distR="0" simplePos="0" relativeHeight="251659264" behindDoc="0" locked="0" layoutInCell="1" allowOverlap="1" wp14:anchorId="0CBE58FC" wp14:editId="7D686115">
            <wp:simplePos x="0" y="0"/>
            <wp:positionH relativeFrom="column">
              <wp:posOffset>2959735</wp:posOffset>
            </wp:positionH>
            <wp:positionV relativeFrom="paragraph">
              <wp:posOffset>72390</wp:posOffset>
            </wp:positionV>
            <wp:extent cx="3096895" cy="416941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016F" w:rsidRPr="00BF00C3" w:rsidRDefault="00F8016F" w:rsidP="00F8016F">
      <w:pPr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</m:t>
        </m:r>
      </m:oMath>
      <w:r w:rsidRPr="00BF00C3">
        <w:t xml:space="preserve">;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=x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x</m:t>
        </m:r>
      </m:oMath>
      <w:r w:rsidRPr="00BF00C3">
        <w:t xml:space="preserve">;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m:oMathPara>
        <m:oMath>
          <m:r>
            <w:rPr>
              <w:rFonts w:ascii="Cambria Math" w:hAnsi="Cambria Math"/>
            </w:rPr>
            <m:t>c=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e>
          </m:d>
          <m:r>
            <w:rPr>
              <w:rFonts w:ascii="Cambria Math" w:hAnsi="Cambria Math"/>
            </w:rPr>
            <m:t>y=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0,412</m:t>
                  </m:r>
                </m:e>
                <m:e>
                  <m:r>
                    <w:rPr>
                      <w:rFonts w:ascii="Cambria Math" w:hAnsi="Cambria Math"/>
                    </w:rPr>
                    <m:t>-0,205</m:t>
                  </m:r>
                </m:e>
                <m:e>
                  <m:r>
                    <w:rPr>
                      <w:rFonts w:ascii="Cambria Math" w:hAnsi="Cambria Math"/>
                    </w:rPr>
                    <m:t>0,17</m:t>
                  </m:r>
                </m:e>
              </m:eqArr>
            </m:e>
          </m:d>
          <m:r>
            <w:rPr>
              <w:rFonts w:ascii="Cambria Math" w:hAnsi="Cambria Math"/>
            </w:rPr>
            <m:t>.</m:t>
          </m:r>
        </m:oMath>
      </m:oMathPara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>Запишем искомую функцию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=0,412-0,205x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log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x+0,17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</w:rPr>
            <m:t>.</m:t>
          </m:r>
        </m:oMath>
      </m:oMathPara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>Построим график и нанесем</w:t>
      </w:r>
    </w:p>
    <w:p w:rsidR="00F8016F" w:rsidRPr="00BF00C3" w:rsidRDefault="00F8016F" w:rsidP="00F8016F">
      <w:pPr>
        <w:jc w:val="both"/>
      </w:pPr>
      <w:r w:rsidRPr="00BF00C3">
        <w:t>на нем заданные точки (рис. 1.1).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 xml:space="preserve">Рис. 1.1. Кривая, полученная </w:t>
      </w:r>
      <w:proofErr w:type="gramStart"/>
      <w:r w:rsidRPr="00BF00C3">
        <w:t>с</w:t>
      </w:r>
      <w:proofErr w:type="gramEnd"/>
    </w:p>
    <w:p w:rsidR="00F8016F" w:rsidRPr="00BF00C3" w:rsidRDefault="00F8016F" w:rsidP="00F8016F">
      <w:pPr>
        <w:jc w:val="both"/>
      </w:pPr>
      <w:r w:rsidRPr="00BF00C3">
        <w:t>использованием МНК, и исходные точки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  <w:rPr>
          <w:b/>
          <w:bCs/>
        </w:rPr>
      </w:pPr>
      <w:r w:rsidRPr="00BF00C3">
        <w:rPr>
          <w:b/>
          <w:bCs/>
        </w:rPr>
        <w:t>Регрессионные модели, множественные линейные модели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>При построении функциональной зависимости входа от выхода (рис. 1.2) при обработке экспериментальных или статистических данных (при известной реакции на входное воздействие), как правило, вид функции не известен.</w:t>
      </w:r>
    </w:p>
    <w:p w:rsidR="00F8016F" w:rsidRPr="00BF00C3" w:rsidRDefault="00F8016F" w:rsidP="00F8016F">
      <w:pPr>
        <w:jc w:val="both"/>
      </w:pPr>
      <w:bookmarkStart w:id="0" w:name="_GoBack"/>
      <w:r w:rsidRPr="00BF00C3">
        <w:rPr>
          <w:noProof/>
          <w:lang w:eastAsia="ru-RU" w:bidi="ar-SA"/>
        </w:rPr>
        <w:drawing>
          <wp:anchor distT="0" distB="0" distL="0" distR="0" simplePos="0" relativeHeight="251660288" behindDoc="0" locked="0" layoutInCell="1" allowOverlap="1" wp14:anchorId="3E178A2E" wp14:editId="281CDB28">
            <wp:simplePos x="0" y="0"/>
            <wp:positionH relativeFrom="column">
              <wp:posOffset>-50800</wp:posOffset>
            </wp:positionH>
            <wp:positionV relativeFrom="paragraph">
              <wp:posOffset>224155</wp:posOffset>
            </wp:positionV>
            <wp:extent cx="6120130" cy="1854835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8016F" w:rsidRPr="00BF00C3" w:rsidRDefault="00F8016F" w:rsidP="00F8016F">
      <w:pPr>
        <w:jc w:val="both"/>
      </w:pPr>
      <w:r w:rsidRPr="00BF00C3">
        <w:lastRenderedPageBreak/>
        <w:t xml:space="preserve">Рисунок 1.2 — Зависимость входа от выхода при одной входной переменной: а – система типа «черный </w:t>
      </w:r>
      <w:proofErr w:type="gramStart"/>
      <w:r w:rsidRPr="00BF00C3">
        <w:t>ящик»; б</w:t>
      </w:r>
      <w:proofErr w:type="gramEnd"/>
      <w:r w:rsidRPr="00BF00C3">
        <w:t xml:space="preserve"> – пример зависимости выхода «черного ящика» от входа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proofErr w:type="gramStart"/>
      <w:r w:rsidRPr="00BF00C3">
        <w:t>Из курса высшей математики известно, что любую функциональную зависимость можно представить в виде полинома (например, повсеместно применяются такой известный полином, как степенной ряд, ряд Фурье и др. [6].</w:t>
      </w:r>
      <w:proofErr w:type="gramEnd"/>
      <w:r w:rsidRPr="00BF00C3">
        <w:t xml:space="preserve"> Поэтому часто функциональную зависимость </w:t>
      </w:r>
      <m:oMath>
        <m:r>
          <w:rPr>
            <w:rFonts w:ascii="Cambria Math" w:hAnsi="Cambria Math"/>
          </w:rPr>
          <m:t>y=f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BF00C3">
        <w:t xml:space="preserve"> ищут в виде: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center"/>
      </w:pPr>
      <m:oMathPara>
        <m:oMath>
          <m:r>
            <w:rPr>
              <w:rFonts w:ascii="Cambria Math" w:hAnsi="Cambria Math"/>
            </w:rPr>
            <m:t>y=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x+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+...+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.</m:t>
          </m:r>
        </m:oMath>
      </m:oMathPara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>Для этого исследователь выдвигает гипотезу о виде функции (как правило, порядке полинома), а затем делаются выводы об адекватности полученной модели. Если модель не адекватна, то выдвигается другая гипотеза (полином более высокого порядка).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 xml:space="preserve">Коэффициенты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BF00C3">
        <w:t xml:space="preserve"> 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BF00C3">
        <w:t xml:space="preserve"> , ...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BF00C3">
        <w:t xml:space="preserve"> могут быть вычислены с помощью МНК</w:t>
      </w:r>
    </w:p>
    <w:p w:rsidR="00F8016F" w:rsidRPr="00BF00C3" w:rsidRDefault="00F8016F" w:rsidP="00F8016F">
      <w:pPr>
        <w:jc w:val="both"/>
      </w:pP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65"/>
        <w:gridCol w:w="1073"/>
      </w:tblGrid>
      <w:tr w:rsidR="00F8016F" w:rsidRPr="00BF00C3" w:rsidTr="009065FC">
        <w:trPr>
          <w:tblHeader/>
        </w:trPr>
        <w:tc>
          <w:tcPr>
            <w:tcW w:w="8565" w:type="dxa"/>
            <w:shd w:val="clear" w:color="auto" w:fill="auto"/>
            <w:vAlign w:val="center"/>
          </w:tcPr>
          <w:p w:rsidR="00F8016F" w:rsidRPr="00BF00C3" w:rsidRDefault="00F8016F" w:rsidP="009065FC">
            <w:pPr>
              <w:pStyle w:val="a3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c=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+</m:t>
                    </m:r>
                  </m:sup>
                </m:sSup>
                <m:r>
                  <w:rPr>
                    <w:rFonts w:ascii="Cambria Math" w:hAnsi="Cambria Math"/>
                  </w:rPr>
                  <m:t>y.</m:t>
                </m:r>
              </m:oMath>
            </m:oMathPara>
          </w:p>
        </w:tc>
        <w:tc>
          <w:tcPr>
            <w:tcW w:w="1073" w:type="dxa"/>
            <w:shd w:val="clear" w:color="auto" w:fill="auto"/>
            <w:vAlign w:val="center"/>
          </w:tcPr>
          <w:p w:rsidR="00F8016F" w:rsidRPr="00BF00C3" w:rsidRDefault="00F8016F" w:rsidP="009065FC">
            <w:pPr>
              <w:pStyle w:val="a3"/>
              <w:jc w:val="right"/>
            </w:pPr>
            <w:r w:rsidRPr="00BF00C3">
              <w:t>(1.3)</w:t>
            </w:r>
          </w:p>
        </w:tc>
      </w:tr>
    </w:tbl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>Чтобы определить, принимается гипотеза или нет, необходимо определить размер ошибки (погрешности).  Для простоты в данной работе будем применять следующий подход (1.4):</w:t>
      </w:r>
    </w:p>
    <w:p w:rsidR="00F8016F" w:rsidRPr="00BF00C3" w:rsidRDefault="00F8016F" w:rsidP="00F8016F">
      <w:pPr>
        <w:jc w:val="both"/>
      </w:pP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65"/>
        <w:gridCol w:w="1073"/>
      </w:tblGrid>
      <w:tr w:rsidR="00F8016F" w:rsidRPr="00BF00C3" w:rsidTr="009065FC">
        <w:trPr>
          <w:tblHeader/>
        </w:trPr>
        <w:tc>
          <w:tcPr>
            <w:tcW w:w="8565" w:type="dxa"/>
            <w:shd w:val="clear" w:color="auto" w:fill="auto"/>
            <w:vAlign w:val="center"/>
          </w:tcPr>
          <w:p w:rsidR="00F8016F" w:rsidRPr="00BF00C3" w:rsidRDefault="00F8016F" w:rsidP="009065FC">
            <w:pPr>
              <w:pStyle w:val="a3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>
                        <m:r>
                          <m:rPr>
                            <m:lit/>
                            <m:nor/>
                          </m:rPr>
                          <w:rPr>
                            <w:rFonts w:ascii="Cambria Math" w:hAnsi="Cambria Math"/>
                          </w:rPr>
                          <m:t>Э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</w:rPr>
                  <m:t>,  F=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</w:tc>
        <w:tc>
          <w:tcPr>
            <w:tcW w:w="1073" w:type="dxa"/>
            <w:shd w:val="clear" w:color="auto" w:fill="auto"/>
            <w:vAlign w:val="center"/>
          </w:tcPr>
          <w:p w:rsidR="00F8016F" w:rsidRPr="00BF00C3" w:rsidRDefault="00F8016F" w:rsidP="009065FC">
            <w:pPr>
              <w:pStyle w:val="a3"/>
              <w:jc w:val="right"/>
            </w:pPr>
            <w:r w:rsidRPr="00BF00C3">
              <w:t>(1.4)</w:t>
            </w:r>
          </w:p>
        </w:tc>
      </w:tr>
    </w:tbl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 xml:space="preserve">Найдем значение σ (сигма) по формуле: </w:t>
      </w:r>
      <m:oMath>
        <m:r>
          <w:rPr>
            <w:rFonts w:ascii="Cambria Math" w:hAnsi="Cambria Math"/>
          </w:rPr>
          <m:t>σ=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F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e>
        </m:rad>
      </m:oMath>
      <w:r w:rsidRPr="00BF00C3">
        <w:t>,</w:t>
      </w:r>
    </w:p>
    <w:p w:rsidR="00F8016F" w:rsidRPr="00BF00C3" w:rsidRDefault="00F8016F" w:rsidP="00F8016F">
      <w:pPr>
        <w:jc w:val="both"/>
      </w:pPr>
      <w:r w:rsidRPr="00BF00C3">
        <w:t xml:space="preserve">где </w:t>
      </w:r>
      <m:oMath>
        <m:r>
          <w:rPr>
            <w:rFonts w:ascii="Cambria Math" w:hAnsi="Cambria Math"/>
          </w:rPr>
          <m:t>n</m:t>
        </m:r>
      </m:oMath>
      <w:r w:rsidRPr="00BF00C3">
        <w:t xml:space="preserve"> – количество экспериментальных точек.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 xml:space="preserve">Если в интервал </w:t>
      </w:r>
      <w:proofErr w:type="gramStart"/>
      <w:r w:rsidRPr="00BF00C3">
        <w:t xml:space="preserve">( </w:t>
      </w:r>
      <w:proofErr w:type="gramEnd"/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Э</m:t>
            </m:r>
          </m:sub>
        </m:sSub>
        <m:r>
          <w:rPr>
            <w:rFonts w:ascii="Cambria Math" w:hAnsi="Cambria Math"/>
          </w:rPr>
          <m:t>-σ≤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Т</m:t>
            </m:r>
          </m:sub>
        </m:sSub>
        <m: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Э</m:t>
            </m:r>
          </m:sub>
        </m:sSub>
        <m:r>
          <w:rPr>
            <w:rFonts w:ascii="Cambria Math" w:hAnsi="Cambria Math"/>
          </w:rPr>
          <m:t>+σ</m:t>
        </m:r>
      </m:oMath>
      <w:r w:rsidRPr="00BF00C3">
        <w:t xml:space="preserve"> ) попадает 68% точек и более, то выдвинутая нами гипотеза принимается (см. Приложение 2). В противном случае, выбирают более сл</w:t>
      </w:r>
      <w:proofErr w:type="spellStart"/>
      <w:r w:rsidRPr="00BF00C3">
        <w:t>ожную</w:t>
      </w:r>
      <w:proofErr w:type="spellEnd"/>
      <w:r w:rsidRPr="00BF00C3">
        <w:t xml:space="preserve"> гипотезу или проверяют исходные данные. Если требуется большая уверенность в результате, то используют дополнительное условие: в интервал </w:t>
      </w:r>
      <w:proofErr w:type="gramStart"/>
      <w:r w:rsidRPr="00BF00C3">
        <w:t xml:space="preserve">( </w:t>
      </w:r>
      <w:proofErr w:type="gramEnd"/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Э</m:t>
            </m:r>
          </m:sub>
        </m:sSub>
        <m:r>
          <w:rPr>
            <w:rFonts w:ascii="Cambria Math" w:hAnsi="Cambria Math"/>
          </w:rPr>
          <m:t>-2σ≤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Т</m:t>
            </m:r>
          </m:sub>
        </m:sSub>
        <m: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Э</m:t>
            </m:r>
          </m:sub>
        </m:sSub>
        <m:r>
          <w:rPr>
            <w:rFonts w:ascii="Cambria Math" w:hAnsi="Cambria Math"/>
          </w:rPr>
          <m:t>+2σ</m:t>
        </m:r>
      </m:oMath>
      <w:r w:rsidRPr="00BF00C3">
        <w:t xml:space="preserve"> ) должны попасть 95% экспериментальных точек.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 xml:space="preserve">Аналогичный </w:t>
      </w:r>
      <w:proofErr w:type="gramStart"/>
      <w:r w:rsidRPr="00BF00C3">
        <w:t>приведенному</w:t>
      </w:r>
      <w:proofErr w:type="gramEnd"/>
      <w:r w:rsidRPr="00BF00C3">
        <w:t xml:space="preserve"> выше способ построения регрессионной модели системы типа «черный ящик» используется при множестве входов и выходов. Рассмотрим систему с множеством входов и выходов более подробно. Для простоты предположим, что функциональная структура имеет линейную зависимость, количество входных сигналов, действующих одновременно, равно </w:t>
      </w:r>
      <m:oMath>
        <m:r>
          <w:rPr>
            <w:rFonts w:ascii="Cambria Math" w:hAnsi="Cambria Math"/>
          </w:rPr>
          <m:t>n</m:t>
        </m:r>
      </m:oMath>
      <w:proofErr w:type="gramStart"/>
      <w:r w:rsidRPr="00BF00C3">
        <w:t xml:space="preserve"> ,</w:t>
      </w:r>
      <w:proofErr w:type="gramEnd"/>
      <w:r w:rsidRPr="00BF00C3">
        <w:t xml:space="preserve"> а выходных – </w:t>
      </w:r>
      <m:oMath>
        <m:r>
          <w:rPr>
            <w:rFonts w:ascii="Cambria Math" w:hAnsi="Cambria Math"/>
          </w:rPr>
          <m:t>m</m:t>
        </m:r>
      </m:oMath>
      <w:r w:rsidRPr="00BF00C3">
        <w:t xml:space="preserve"> ((1.5), рис. 1.3).</w:t>
      </w:r>
    </w:p>
    <w:p w:rsidR="00F8016F" w:rsidRPr="00BF00C3" w:rsidRDefault="00F8016F" w:rsidP="00F8016F">
      <w:pPr>
        <w:jc w:val="both"/>
      </w:pP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65"/>
        <w:gridCol w:w="1073"/>
      </w:tblGrid>
      <w:tr w:rsidR="00F8016F" w:rsidRPr="00BF00C3" w:rsidTr="009065FC">
        <w:trPr>
          <w:tblHeader/>
        </w:trPr>
        <w:tc>
          <w:tcPr>
            <w:tcW w:w="8565" w:type="dxa"/>
            <w:shd w:val="clear" w:color="auto" w:fill="auto"/>
            <w:vAlign w:val="center"/>
          </w:tcPr>
          <w:p w:rsidR="00F8016F" w:rsidRPr="00BF00C3" w:rsidRDefault="00F8016F" w:rsidP="009065FC">
            <w:pPr>
              <w:pStyle w:val="a3"/>
              <w:jc w:val="center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+…+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+…+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/>
                          </w:rPr>
                          <m:t>⋮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+…+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e>
                    </m:eqArr>
                  </m:e>
                </m:d>
              </m:oMath>
            </m:oMathPara>
          </w:p>
        </w:tc>
        <w:tc>
          <w:tcPr>
            <w:tcW w:w="1073" w:type="dxa"/>
            <w:shd w:val="clear" w:color="auto" w:fill="auto"/>
            <w:vAlign w:val="center"/>
          </w:tcPr>
          <w:p w:rsidR="00F8016F" w:rsidRPr="00BF00C3" w:rsidRDefault="00F8016F" w:rsidP="009065FC">
            <w:pPr>
              <w:pStyle w:val="a3"/>
              <w:jc w:val="right"/>
            </w:pPr>
            <w:r w:rsidRPr="00BF00C3">
              <w:t>(1.5)</w:t>
            </w:r>
          </w:p>
        </w:tc>
      </w:tr>
    </w:tbl>
    <w:p w:rsidR="00F8016F" w:rsidRPr="00BF00C3" w:rsidRDefault="00F8016F" w:rsidP="00F8016F">
      <w:pPr>
        <w:jc w:val="both"/>
      </w:pPr>
      <w:r w:rsidRPr="00BF00C3">
        <w:rPr>
          <w:noProof/>
          <w:lang w:eastAsia="ru-RU" w:bidi="ar-SA"/>
        </w:rPr>
        <w:lastRenderedPageBreak/>
        <w:drawing>
          <wp:anchor distT="0" distB="0" distL="0" distR="0" simplePos="0" relativeHeight="251661312" behindDoc="0" locked="0" layoutInCell="1" allowOverlap="1" wp14:anchorId="4473D101" wp14:editId="2A25E1F7">
            <wp:simplePos x="0" y="0"/>
            <wp:positionH relativeFrom="column">
              <wp:posOffset>4175125</wp:posOffset>
            </wp:positionH>
            <wp:positionV relativeFrom="paragraph">
              <wp:posOffset>788670</wp:posOffset>
            </wp:positionV>
            <wp:extent cx="2123440" cy="1928495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016F" w:rsidRPr="00BF00C3" w:rsidRDefault="00F8016F" w:rsidP="00F8016F">
      <w:pPr>
        <w:jc w:val="both"/>
      </w:pPr>
      <w:proofErr w:type="gramStart"/>
      <w:r w:rsidRPr="00BF00C3">
        <w:t>Коэффициенты</w:t>
      </w:r>
      <w:proofErr w:type="gramEnd"/>
      <w:r w:rsidRPr="00BF00C3">
        <w:t xml:space="preserve"> </w:t>
      </w:r>
      <m:oMath>
        <m:r>
          <w:rPr>
            <w:rFonts w:ascii="Cambria Math" w:hAnsi="Cambria Math"/>
          </w:rPr>
          <m:t>c</m:t>
        </m:r>
      </m:oMath>
      <w:r w:rsidRPr="00BF00C3">
        <w:t xml:space="preserve"> как и прежде находим методом наименьших квадратов.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>Рис. 1.3 — Множественная модель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m:rPr>
                          <m:lit/>
                          <m:nor/>
                        </m:rPr>
                        <w:rPr>
                          <w:rFonts w:ascii="Cambria Math" w:hAnsi="Cambria Math"/>
                        </w:rPr>
                        <m:t>+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m:rPr>
                          <m:lit/>
                          <m:nor/>
                        </m:rPr>
                        <w:rPr>
                          <w:rFonts w:ascii="Cambria Math" w:hAnsi="Cambria Math"/>
                        </w:rPr>
                        <m:t>+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</w:rPr>
                    <m:t>⋮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m:rPr>
                          <m:lit/>
                          <m:nor/>
                        </m:rPr>
                        <w:rPr>
                          <w:rFonts w:ascii="Cambria Math" w:hAnsi="Cambria Math"/>
                        </w:rPr>
                        <m:t>+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/>
                    </w:rPr>
                    <m:t>.</m:t>
                  </m:r>
                </m:e>
              </m:eqArr>
            </m:e>
          </m:d>
        </m:oMath>
      </m:oMathPara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 xml:space="preserve">При заполнении матрицы </w:t>
      </w:r>
      <m:oMath>
        <m:r>
          <w:rPr>
            <w:rFonts w:ascii="Cambria Math" w:hAnsi="Cambria Math"/>
          </w:rPr>
          <m:t>A</m:t>
        </m:r>
      </m:oMath>
      <w:r w:rsidRPr="00BF00C3">
        <w:t xml:space="preserve"> в качестве функций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BF00C3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BF00C3">
        <w:t xml:space="preserve">, ... 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BF00C3">
        <w:t xml:space="preserve"> используем соответственно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BF00C3"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BF00C3">
        <w:t xml:space="preserve">, ... 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BF00C3">
        <w:t>.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 xml:space="preserve">В случае нелинейного случая система уравнений (1.5) будет дополняться по необходимости переменными </w:t>
      </w:r>
      <m:oMath>
        <m:r>
          <w:rPr>
            <w:rFonts w:ascii="Cambria Math" w:hAnsi="Cambria Math"/>
          </w:rPr>
          <m:t>x</m:t>
        </m:r>
      </m:oMath>
      <w:r w:rsidRPr="00BF00C3">
        <w:t xml:space="preserve"> более высоких порядков по аналогии со случаем с одним входом и одним выходом.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>ПРИМЕР РЕШЕНИЯ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 xml:space="preserve">Пусть </w:t>
      </w:r>
      <w:proofErr w:type="gramStart"/>
      <w:r w:rsidRPr="00BF00C3">
        <w:t>со</w:t>
      </w:r>
      <w:proofErr w:type="gramEnd"/>
      <w:r w:rsidRPr="00BF00C3">
        <w:t xml:space="preserve"> входа </w:t>
      </w:r>
      <m:oMath>
        <m:r>
          <w:rPr>
            <w:rFonts w:ascii="Cambria Math" w:hAnsi="Cambria Math"/>
          </w:rPr>
          <m:t>X</m:t>
        </m:r>
      </m:oMath>
      <w:r w:rsidRPr="00BF00C3">
        <w:t xml:space="preserve"> и выхода </w:t>
      </w:r>
      <m:oMath>
        <m:r>
          <w:rPr>
            <w:rFonts w:ascii="Cambria Math" w:hAnsi="Cambria Math"/>
          </w:rPr>
          <m:t>Y</m:t>
        </m:r>
      </m:oMath>
      <w:r w:rsidRPr="00BF00C3">
        <w:t xml:space="preserve"> модели типа «черный ящик» сняты следующие значения (табл. 1.2). Необходимо найти математическое описание и коэффициенты модели методом регрессии, оценить погрешность, построить системе координат экспериментальные точки, график полученной функции, интервалы </w:t>
      </w:r>
      <m:oMath>
        <m:r>
          <w:rPr>
            <w:rFonts w:ascii="Cambria Math" w:hAnsi="Cambria Math"/>
          </w:rPr>
          <m:t>σ</m:t>
        </m:r>
      </m:oMath>
      <w:r w:rsidRPr="00BF00C3">
        <w:t xml:space="preserve"> и если необходимо </w:t>
      </w:r>
      <m:oMath>
        <m:r>
          <w:rPr>
            <w:rFonts w:ascii="Cambria Math" w:hAnsi="Cambria Math"/>
          </w:rPr>
          <m:t>2σ</m:t>
        </m:r>
      </m:oMath>
      <w:r w:rsidRPr="00BF00C3">
        <w:t xml:space="preserve"> .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>Таблица 1.2 — Исходные данные для построения регрессионной модели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76"/>
        <w:gridCol w:w="1377"/>
        <w:gridCol w:w="1377"/>
        <w:gridCol w:w="1377"/>
        <w:gridCol w:w="1377"/>
        <w:gridCol w:w="1377"/>
        <w:gridCol w:w="1377"/>
      </w:tblGrid>
      <w:tr w:rsidR="00F8016F" w:rsidRPr="00BF00C3" w:rsidTr="009065FC"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X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0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12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5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8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13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14</w:t>
            </w:r>
          </w:p>
        </w:tc>
      </w:tr>
      <w:tr w:rsidR="00F8016F" w:rsidRPr="00BF00C3" w:rsidTr="009065FC"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Y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1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10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7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5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10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F8016F" w:rsidRPr="00BF00C3" w:rsidRDefault="00F8016F" w:rsidP="009065FC">
            <w:pPr>
              <w:pStyle w:val="a3"/>
              <w:jc w:val="center"/>
            </w:pPr>
            <w:r w:rsidRPr="00BF00C3">
              <w:t>14</w:t>
            </w:r>
          </w:p>
        </w:tc>
      </w:tr>
    </w:tbl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>Сначала отметим исходные точки на графике (рис. 1.4). Так как исходные точки имеют небольшой разброс, то проверим гипотезу о линейной функции: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m:oMathPara>
        <m:oMath>
          <m:r>
            <w:rPr>
              <w:rFonts w:ascii="Cambria Math" w:hAnsi="Cambria Math"/>
            </w:rPr>
            <m:t>Y=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X.</m:t>
          </m:r>
        </m:oMath>
      </m:oMathPara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 xml:space="preserve">Теперь найдем неизвестные коэффициенты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BF00C3">
        <w:t xml:space="preserve"> 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BF00C3">
        <w:t xml:space="preserve"> методом наименьших квадратов. Подставляя числа </w:t>
      </w:r>
      <m:oMath>
        <m:r>
          <w:rPr>
            <w:rFonts w:ascii="Cambria Math" w:hAnsi="Cambria Math"/>
          </w:rPr>
          <m:t>X</m:t>
        </m:r>
      </m:oMath>
      <w:r w:rsidRPr="00BF00C3">
        <w:t xml:space="preserve"> и </w:t>
      </w:r>
      <m:oMath>
        <m:r>
          <w:rPr>
            <w:rFonts w:ascii="Cambria Math" w:hAnsi="Cambria Math"/>
          </w:rPr>
          <m:t>Y</m:t>
        </m:r>
      </m:oMath>
      <w:proofErr w:type="gramStart"/>
      <w:r w:rsidRPr="00BF00C3">
        <w:t xml:space="preserve"> ,</w:t>
      </w:r>
      <w:proofErr w:type="gramEnd"/>
      <w:r w:rsidRPr="00BF00C3">
        <w:t xml:space="preserve"> число экспериментов </w:t>
      </w:r>
      <m:oMath>
        <m:r>
          <w:rPr>
            <w:rFonts w:ascii="Cambria Math" w:hAnsi="Cambria Math"/>
          </w:rPr>
          <m:t>m=6</m:t>
        </m:r>
      </m:oMath>
      <w:r w:rsidRPr="00BF00C3">
        <w:t xml:space="preserve"> , имеем: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=0,771</m:t>
        </m:r>
      </m:oMath>
      <w:r w:rsidRPr="00BF00C3">
        <w:t xml:space="preserve"> 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=1,147</m:t>
        </m:r>
      </m:oMath>
      <w:r w:rsidRPr="00BF00C3">
        <w:t>.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 xml:space="preserve">Чтобы определить, принимается гипотеза или нет, нужно рассчитать ошибку между теоретической и экспериментальной зависимостями. </w:t>
      </w:r>
      <m:oMath>
        <m:r>
          <w:rPr>
            <w:rFonts w:ascii="Cambria Math" w:hAnsi="Cambria Math"/>
          </w:rPr>
          <m:t>F=85,624</m:t>
        </m:r>
      </m:oMath>
      <w:r w:rsidRPr="00BF00C3">
        <w:t xml:space="preserve"> ,  </w:t>
      </w:r>
      <m:oMath>
        <m:r>
          <w:rPr>
            <w:rFonts w:ascii="Cambria Math" w:hAnsi="Cambria Math"/>
          </w:rPr>
          <m:t>σ=3,778</m:t>
        </m:r>
      </m:oMath>
      <w:r w:rsidRPr="00BF00C3">
        <w:t xml:space="preserve"> .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rPr>
          <w:noProof/>
          <w:lang w:eastAsia="ru-RU" w:bidi="ar-SA"/>
        </w:rPr>
        <w:lastRenderedPageBreak/>
        <w:drawing>
          <wp:anchor distT="0" distB="0" distL="0" distR="0" simplePos="0" relativeHeight="251662336" behindDoc="0" locked="0" layoutInCell="1" allowOverlap="1" wp14:anchorId="0A5A88F7" wp14:editId="4E45231A">
            <wp:simplePos x="0" y="0"/>
            <wp:positionH relativeFrom="column">
              <wp:posOffset>-379095</wp:posOffset>
            </wp:positionH>
            <wp:positionV relativeFrom="paragraph">
              <wp:posOffset>71120</wp:posOffset>
            </wp:positionV>
            <wp:extent cx="3616325" cy="3536950"/>
            <wp:effectExtent l="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00C3">
        <w:t xml:space="preserve">Теперь построим график функции </w:t>
      </w:r>
      <m:oMath>
        <m:r>
          <w:rPr>
            <w:rFonts w:ascii="Cambria Math" w:hAnsi="Cambria Math"/>
          </w:rPr>
          <m:t>Y=0,71⋅X+3,32</m:t>
        </m:r>
      </m:oMath>
      <w:r w:rsidRPr="00BF00C3">
        <w:t xml:space="preserve"> и параллельно ему две линии на расстоянии от него +3,778 и -3,778 (рис. 1.4). </w:t>
      </w:r>
      <w:proofErr w:type="gramStart"/>
      <w:r w:rsidRPr="00BF00C3">
        <w:t xml:space="preserve">В коридор [-3.778, +3.778] попадет 3 экспериментальных точки из шести, то есть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100</m:t>
        </m:r>
        <m:r>
          <m:rPr>
            <m:lit/>
            <m:nor/>
          </m:rPr>
          <w:rPr>
            <w:rFonts w:ascii="Cambria Math" w:hAnsi="Cambria Math"/>
          </w:rPr>
          <m:t>%</m:t>
        </m:r>
        <m:r>
          <w:rPr>
            <w:rFonts w:ascii="Cambria Math" w:hAnsi="Cambria Math"/>
          </w:rPr>
          <m:t>=50</m:t>
        </m:r>
        <m:r>
          <m:rPr>
            <m:lit/>
            <m:nor/>
          </m:rPr>
          <w:rPr>
            <w:rFonts w:ascii="Cambria Math" w:hAnsi="Cambria Math"/>
          </w:rPr>
          <m:t>%</m:t>
        </m:r>
      </m:oMath>
      <w:r w:rsidRPr="00BF00C3">
        <w:t xml:space="preserve"> , что не удовлетворяет требованию нормального распределения ошибки (68%).</w:t>
      </w:r>
      <w:proofErr w:type="gramEnd"/>
      <w:r w:rsidRPr="00BF00C3">
        <w:t xml:space="preserve"> Поэтому гипотеза о том, что данную функцию можно считать линейной, не выполняется, и необходимо выдвигать более сложную гипотезу (функцию более высокого порядка).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  <w:r w:rsidRPr="00BF00C3">
        <w:t>Рис. 1.4 — График функции, полученной методом регрессии, и исходные точки</w:t>
      </w: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F8016F" w:rsidRPr="00BF00C3" w:rsidRDefault="00F8016F" w:rsidP="00F8016F">
      <w:pPr>
        <w:jc w:val="both"/>
      </w:pPr>
    </w:p>
    <w:p w:rsidR="00170F95" w:rsidRDefault="00170F95"/>
    <w:sectPr w:rsidR="0017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WenQuanYi Micro Hei">
    <w:altName w:val="Arial Unicode MS"/>
    <w:charset w:val="80"/>
    <w:family w:val="swiss"/>
    <w:pitch w:val="variable"/>
    <w:sig w:usb0="00000000" w:usb1="6BDFFCFB" w:usb2="00800036" w:usb3="00000000" w:csb0="003E019F" w:csb1="00000000"/>
  </w:font>
  <w:font w:name="Lohit Devanagari">
    <w:altName w:val="Arial"/>
    <w:charset w:val="00"/>
    <w:family w:val="swiss"/>
    <w:pitch w:val="variable"/>
    <w:sig w:usb0="00000003" w:usb1="00002042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88"/>
    <w:rsid w:val="00170F95"/>
    <w:rsid w:val="00196988"/>
    <w:rsid w:val="00F8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6F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F8016F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F8016F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F8016F"/>
    <w:rPr>
      <w:rFonts w:ascii="Tahoma" w:eastAsia="WenQuanYi Micro Hei" w:hAnsi="Tahoma" w:cs="Mangal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6F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F8016F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F8016F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F8016F"/>
    <w:rPr>
      <w:rFonts w:ascii="Tahoma" w:eastAsia="WenQuanYi Micro Hei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2023-09-12T08:31:00Z</dcterms:created>
  <dcterms:modified xsi:type="dcterms:W3CDTF">2023-09-12T08:33:00Z</dcterms:modified>
</cp:coreProperties>
</file>