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5387" w:rsidRDefault="00543710" w:rsidP="00EF538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53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задание к теме лекционного занятия </w:t>
      </w:r>
    </w:p>
    <w:p w:rsidR="00D97FFE" w:rsidRPr="00EF5387" w:rsidRDefault="00543710" w:rsidP="00EF538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5387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«Основные средства»</w:t>
      </w:r>
    </w:p>
    <w:p w:rsidR="00543710" w:rsidRDefault="00543710" w:rsidP="005437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3710" w:rsidRDefault="00543710" w:rsidP="00EF53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приложении к заданию приведены пояснения к бухгалтерскому балансу и отчету о финансовых результатах действующего предприятия. В разделе 2 «Основные средства», пункт 2.1 «Наличие и движение основных средств» приведена основная информация об основных средствах предприятия. Необходимо проанализировать динамику, струк</w:t>
      </w:r>
      <w:r w:rsidR="002427BB">
        <w:rPr>
          <w:rFonts w:ascii="Times New Roman" w:hAnsi="Times New Roman" w:cs="Times New Roman"/>
          <w:sz w:val="28"/>
          <w:szCs w:val="28"/>
          <w:lang w:val="ru-RU"/>
        </w:rPr>
        <w:t>туру, износ и годность</w:t>
      </w:r>
      <w:r w:rsidR="00FB034F">
        <w:rPr>
          <w:rFonts w:ascii="Times New Roman" w:hAnsi="Times New Roman" w:cs="Times New Roman"/>
          <w:sz w:val="28"/>
          <w:szCs w:val="28"/>
          <w:lang w:val="ru-RU"/>
        </w:rPr>
        <w:t>, показатели движения</w:t>
      </w:r>
      <w:r w:rsidR="002427BB">
        <w:rPr>
          <w:rFonts w:ascii="Times New Roman" w:hAnsi="Times New Roman" w:cs="Times New Roman"/>
          <w:sz w:val="28"/>
          <w:szCs w:val="28"/>
          <w:lang w:val="ru-RU"/>
        </w:rPr>
        <w:t xml:space="preserve">, эффективность использования (фондоотдачу и </w:t>
      </w:r>
      <w:proofErr w:type="spellStart"/>
      <w:r w:rsidR="002427BB">
        <w:rPr>
          <w:rFonts w:ascii="Times New Roman" w:hAnsi="Times New Roman" w:cs="Times New Roman"/>
          <w:sz w:val="28"/>
          <w:szCs w:val="28"/>
          <w:lang w:val="ru-RU"/>
        </w:rPr>
        <w:t>фондовооруженность</w:t>
      </w:r>
      <w:proofErr w:type="spellEnd"/>
      <w:r w:rsidR="002427B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B034F">
        <w:rPr>
          <w:rFonts w:ascii="Times New Roman" w:hAnsi="Times New Roman" w:cs="Times New Roman"/>
          <w:sz w:val="28"/>
          <w:szCs w:val="28"/>
          <w:lang w:val="ru-RU"/>
        </w:rPr>
        <w:t>основных средств</w:t>
      </w:r>
      <w:r w:rsidR="00FB03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427BB">
        <w:rPr>
          <w:rFonts w:ascii="Times New Roman" w:hAnsi="Times New Roman" w:cs="Times New Roman"/>
          <w:sz w:val="28"/>
          <w:szCs w:val="28"/>
          <w:lang w:val="ru-RU"/>
        </w:rPr>
        <w:t xml:space="preserve">В течении отчетного периода выручка предприятия составила 105170 тыс. руб., базисного – 105546 тыс. руб. Численность работников отчетного периода – 1045 чел., базисного – 1012 чел. </w:t>
      </w:r>
    </w:p>
    <w:p w:rsidR="00AF496F" w:rsidRDefault="00AF496F" w:rsidP="002427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27BB" w:rsidRDefault="002427BB" w:rsidP="002427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по решению практического задания</w:t>
      </w:r>
    </w:p>
    <w:p w:rsidR="00AF496F" w:rsidRDefault="002427BB" w:rsidP="002427B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496F" w:rsidRDefault="00AF496F" w:rsidP="00EF5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427BB" w:rsidRPr="00AF496F">
        <w:rPr>
          <w:rFonts w:ascii="Times New Roman" w:hAnsi="Times New Roman" w:cs="Times New Roman"/>
          <w:sz w:val="28"/>
          <w:szCs w:val="28"/>
          <w:lang w:val="ru-RU"/>
        </w:rPr>
        <w:t xml:space="preserve">Анализ </w:t>
      </w:r>
      <w:r w:rsidRPr="00AF496F">
        <w:rPr>
          <w:rFonts w:ascii="Times New Roman" w:hAnsi="Times New Roman" w:cs="Times New Roman"/>
          <w:sz w:val="28"/>
          <w:szCs w:val="28"/>
          <w:lang w:val="ru-RU"/>
        </w:rPr>
        <w:t>динамики изменения стоимости основных средств проводится на основе абсолютного и относительного отклонения всей стоимости основных средств и отдельных видо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</w:p>
    <w:p w:rsidR="00AF496F" w:rsidRDefault="00AF496F" w:rsidP="00EF5387">
      <w:pPr>
        <w:pStyle w:val="3"/>
        <w:spacing w:line="360" w:lineRule="auto"/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 xml:space="preserve">Так, </w:t>
      </w:r>
      <w:r>
        <w:rPr>
          <w:szCs w:val="28"/>
          <w:lang w:val="ru-RU"/>
        </w:rPr>
        <w:t xml:space="preserve">абсолютное отклонение </w:t>
      </w:r>
      <w:r>
        <w:rPr>
          <w:szCs w:val="28"/>
          <w:lang w:val="ru-RU"/>
        </w:rPr>
        <w:t>всей стоимости основных средств</w:t>
      </w:r>
      <w:r>
        <w:rPr>
          <w:szCs w:val="28"/>
          <w:lang w:val="ru-RU"/>
        </w:rPr>
        <w:t>, рассчитывается по формуле:</w:t>
      </w:r>
    </w:p>
    <w:p w:rsidR="00AF496F" w:rsidRDefault="00AF496F" w:rsidP="00AF496F">
      <w:pPr>
        <w:pStyle w:val="3"/>
        <w:spacing w:before="120" w:after="120" w:line="288" w:lineRule="auto"/>
        <w:ind w:lef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Абсолютное отклонение = </w:t>
      </w:r>
      <w:r>
        <w:rPr>
          <w:szCs w:val="28"/>
          <w:lang w:val="ru-RU"/>
        </w:rPr>
        <w:t>Стоимость основных средств</w:t>
      </w:r>
      <w:r>
        <w:rPr>
          <w:szCs w:val="28"/>
          <w:lang w:val="ru-RU"/>
        </w:rPr>
        <w:t xml:space="preserve"> отчетного периода – Стоимость основных средств базисного периода, тыс. руб.</w:t>
      </w:r>
    </w:p>
    <w:p w:rsidR="00AF496F" w:rsidRPr="0054143C" w:rsidRDefault="00AF496F" w:rsidP="00AF496F">
      <w:pPr>
        <w:pStyle w:val="3"/>
        <w:spacing w:before="120" w:after="120"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 xml:space="preserve">Аналогично рассчитывается абсолютное отклонение по всем видам основных средств. </w:t>
      </w:r>
    </w:p>
    <w:p w:rsidR="00AF496F" w:rsidRDefault="00AF496F" w:rsidP="00EF5387">
      <w:pPr>
        <w:pStyle w:val="3"/>
        <w:spacing w:line="360" w:lineRule="auto"/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 xml:space="preserve">Относительное отклонение рассчитывается как отношение </w:t>
      </w:r>
      <w:r>
        <w:rPr>
          <w:szCs w:val="28"/>
          <w:lang w:val="ru-RU"/>
        </w:rPr>
        <w:t>с</w:t>
      </w:r>
      <w:r>
        <w:rPr>
          <w:szCs w:val="28"/>
          <w:lang w:val="ru-RU"/>
        </w:rPr>
        <w:t>тоимост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 xml:space="preserve"> основных средств отчетного периода к </w:t>
      </w:r>
      <w:r>
        <w:rPr>
          <w:szCs w:val="28"/>
          <w:lang w:val="ru-RU"/>
        </w:rPr>
        <w:t>с</w:t>
      </w:r>
      <w:r>
        <w:rPr>
          <w:szCs w:val="28"/>
          <w:lang w:val="ru-RU"/>
        </w:rPr>
        <w:t>тоимост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 xml:space="preserve"> основных средств базисного периода, умноженное на 100 и за минусом 100%:</w:t>
      </w:r>
    </w:p>
    <w:p w:rsidR="00AF496F" w:rsidRPr="001E0362" w:rsidRDefault="00AF496F" w:rsidP="00AF496F">
      <w:pPr>
        <w:pStyle w:val="3"/>
        <w:spacing w:before="120" w:after="120" w:line="288" w:lineRule="auto"/>
        <w:ind w:left="0" w:firstLine="0"/>
        <w:jc w:val="center"/>
        <w:rPr>
          <w:szCs w:val="28"/>
          <w:lang w:val="ru-RU"/>
        </w:rPr>
      </w:pPr>
      <w:proofErr w:type="spellStart"/>
      <w:r w:rsidRPr="001E0362">
        <w:rPr>
          <w:szCs w:val="28"/>
          <w:lang w:val="ru-RU"/>
        </w:rPr>
        <w:t>Отн</w:t>
      </w:r>
      <w:proofErr w:type="spellEnd"/>
      <w:r w:rsidRPr="001E0362">
        <w:rPr>
          <w:szCs w:val="28"/>
          <w:lang w:val="ru-RU"/>
        </w:rPr>
        <w:t>. от</w:t>
      </w:r>
      <w:r>
        <w:rPr>
          <w:szCs w:val="28"/>
          <w:lang w:val="ru-RU"/>
        </w:rPr>
        <w:t>клонение</w:t>
      </w:r>
      <w:r>
        <w:rPr>
          <w:szCs w:val="28"/>
          <w:lang w:val="ru-RU"/>
        </w:rPr>
        <w:t xml:space="preserve"> =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С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 xml:space="preserve">тоимость основных средсв отчетного периода, 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 xml:space="preserve"> тыс.руб.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С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тоимость основных средств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 xml:space="preserve"> базисного периода, тыс.руб.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ru-RU"/>
              </w:rPr>
              <m:t>×100</m:t>
            </m:r>
          </m:e>
        </m:d>
        <m:r>
          <w:rPr>
            <w:rFonts w:ascii="Cambria Math" w:hAnsi="Cambria Math"/>
            <w:sz w:val="24"/>
            <w:szCs w:val="24"/>
            <w:lang w:val="ru-RU"/>
          </w:rPr>
          <m:t>-100%</m:t>
        </m:r>
      </m:oMath>
    </w:p>
    <w:p w:rsidR="00AF496F" w:rsidRPr="0054143C" w:rsidRDefault="00AF496F" w:rsidP="00EF5387">
      <w:pPr>
        <w:pStyle w:val="3"/>
        <w:spacing w:before="120" w:after="120" w:line="360" w:lineRule="auto"/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Аналогично рассчитывается </w:t>
      </w:r>
      <w:r>
        <w:rPr>
          <w:szCs w:val="28"/>
          <w:lang w:val="ru-RU"/>
        </w:rPr>
        <w:t>относительное</w:t>
      </w:r>
      <w:r>
        <w:rPr>
          <w:szCs w:val="28"/>
          <w:lang w:val="ru-RU"/>
        </w:rPr>
        <w:t xml:space="preserve"> отклонение по </w:t>
      </w:r>
      <w:r>
        <w:rPr>
          <w:szCs w:val="28"/>
          <w:lang w:val="ru-RU"/>
        </w:rPr>
        <w:t>другим</w:t>
      </w:r>
      <w:r>
        <w:rPr>
          <w:szCs w:val="28"/>
          <w:lang w:val="ru-RU"/>
        </w:rPr>
        <w:t xml:space="preserve"> видам основных средств. </w:t>
      </w:r>
    </w:p>
    <w:p w:rsidR="00AF496F" w:rsidRDefault="00AF496F" w:rsidP="00EF5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Проводи</w:t>
      </w:r>
      <w:r w:rsidR="00EF5387">
        <w:rPr>
          <w:rFonts w:ascii="Times New Roman" w:hAnsi="Times New Roman" w:cs="Times New Roman"/>
          <w:sz w:val="28"/>
          <w:szCs w:val="28"/>
          <w:lang w:val="ru-RU"/>
        </w:rPr>
        <w:t xml:space="preserve">ть подобные расчеты целесообразно в программном продукте </w:t>
      </w:r>
      <w:r w:rsidR="00EF5387">
        <w:rPr>
          <w:rFonts w:ascii="Times New Roman" w:hAnsi="Times New Roman" w:cs="Times New Roman"/>
          <w:sz w:val="28"/>
          <w:szCs w:val="28"/>
          <w:lang w:val="en-US"/>
        </w:rPr>
        <w:t>MS Excel</w:t>
      </w:r>
      <w:r w:rsidR="00EF5387">
        <w:rPr>
          <w:rFonts w:ascii="Times New Roman" w:hAnsi="Times New Roman" w:cs="Times New Roman"/>
          <w:sz w:val="28"/>
          <w:szCs w:val="28"/>
          <w:lang w:val="ru-RU"/>
        </w:rPr>
        <w:t xml:space="preserve">, сформировав таблицу, пример которой приведен ниже. </w:t>
      </w:r>
    </w:p>
    <w:p w:rsidR="00EF5387" w:rsidRDefault="00EF5387" w:rsidP="00AF496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5387" w:rsidRDefault="00EF5387" w:rsidP="00EF5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– Анализ динамики стоимости основных средств предприятия</w:t>
      </w:r>
    </w:p>
    <w:tbl>
      <w:tblPr>
        <w:tblW w:w="898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398"/>
        <w:gridCol w:w="1586"/>
        <w:gridCol w:w="2021"/>
        <w:gridCol w:w="2041"/>
      </w:tblGrid>
      <w:tr w:rsidR="00EF5387" w:rsidTr="00EF538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915" w:type="dxa"/>
            <w:vMerge w:val="restart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основных средств</w:t>
            </w:r>
          </w:p>
        </w:tc>
        <w:tc>
          <w:tcPr>
            <w:tcW w:w="1399" w:type="dxa"/>
            <w:vMerge w:val="restart"/>
          </w:tcPr>
          <w:p w:rsidR="00EF5387" w:rsidRDefault="00EF5387" w:rsidP="00EF5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Базисный период</w:t>
            </w:r>
          </w:p>
        </w:tc>
        <w:tc>
          <w:tcPr>
            <w:tcW w:w="1593" w:type="dxa"/>
            <w:vMerge w:val="restart"/>
          </w:tcPr>
          <w:p w:rsidR="00EF5387" w:rsidRDefault="00EF5387" w:rsidP="00EF5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Отчетный период</w:t>
            </w:r>
          </w:p>
        </w:tc>
        <w:tc>
          <w:tcPr>
            <w:tcW w:w="4079" w:type="dxa"/>
            <w:gridSpan w:val="2"/>
          </w:tcPr>
          <w:p w:rsidR="00EF5387" w:rsidRDefault="00EF5387" w:rsidP="00EF5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Отклонение</w:t>
            </w: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915" w:type="dxa"/>
            <w:vMerge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9" w:type="dxa"/>
            <w:vMerge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  <w:vMerge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абсолютное (+/-)</w:t>
            </w: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относительное, (%)</w:t>
            </w: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15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Машины и оборудование</w:t>
            </w:r>
          </w:p>
        </w:tc>
        <w:tc>
          <w:tcPr>
            <w:tcW w:w="1399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915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Офисное оборудование</w:t>
            </w:r>
          </w:p>
        </w:tc>
        <w:tc>
          <w:tcPr>
            <w:tcW w:w="1399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15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Здания</w:t>
            </w:r>
          </w:p>
        </w:tc>
        <w:tc>
          <w:tcPr>
            <w:tcW w:w="1399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915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Транспортные средства</w:t>
            </w:r>
          </w:p>
        </w:tc>
        <w:tc>
          <w:tcPr>
            <w:tcW w:w="1399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915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Сооружения</w:t>
            </w:r>
          </w:p>
        </w:tc>
        <w:tc>
          <w:tcPr>
            <w:tcW w:w="1399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5387" w:rsidTr="00EF538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915" w:type="dxa"/>
          </w:tcPr>
          <w:p w:rsidR="00EF5387" w:rsidRP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F5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99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3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38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</w:tcPr>
          <w:p w:rsidR="00EF5387" w:rsidRDefault="00EF5387" w:rsidP="00EF5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F5387" w:rsidRPr="00EF5387" w:rsidRDefault="00EF5387" w:rsidP="00EF53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496F" w:rsidRPr="00EF5387" w:rsidRDefault="00EF5387" w:rsidP="00EF5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AF496F" w:rsidRPr="00EF5387">
        <w:rPr>
          <w:rFonts w:ascii="Times New Roman" w:hAnsi="Times New Roman" w:cs="Times New Roman"/>
          <w:sz w:val="28"/>
          <w:szCs w:val="28"/>
          <w:lang w:val="ru-RU"/>
        </w:rPr>
        <w:t>При анализе структуры основных средств предприятия особое значение имеет распределение на активную и пассивную части. Как правило, к активной относятся машины и оборудование, транспортные средства. Пассивную часть формируют основные средства, которые создают условия для осуществления производственного процесса – здания, сооружения, передаточные устройства и прочие. Структурный анализ основных средств предлагается провести одним из способов: графическим, с помощью программного приложения MS E</w:t>
      </w:r>
      <w:proofErr w:type="spellStart"/>
      <w:r w:rsidR="00AF496F" w:rsidRPr="00EF5387">
        <w:rPr>
          <w:rFonts w:ascii="Times New Roman" w:hAnsi="Times New Roman" w:cs="Times New Roman"/>
          <w:sz w:val="28"/>
          <w:szCs w:val="28"/>
          <w:lang w:val="en-US"/>
        </w:rPr>
        <w:t>xcel</w:t>
      </w:r>
      <w:proofErr w:type="spellEnd"/>
      <w:r w:rsidR="00AF496F" w:rsidRPr="00EF5387">
        <w:rPr>
          <w:rFonts w:ascii="Times New Roman" w:hAnsi="Times New Roman" w:cs="Times New Roman"/>
          <w:sz w:val="28"/>
          <w:szCs w:val="28"/>
          <w:lang w:val="ru-RU"/>
        </w:rPr>
        <w:t xml:space="preserve"> или табличным </w:t>
      </w:r>
      <w:r w:rsidR="00AF496F" w:rsidRPr="00EF538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(вертикальный анализ).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структурного анализа приводятся в табл. 2. </w:t>
      </w:r>
    </w:p>
    <w:p w:rsidR="00AF496F" w:rsidRPr="00EF5387" w:rsidRDefault="00AF496F" w:rsidP="00EF5387">
      <w:pPr>
        <w:pStyle w:val="3"/>
        <w:spacing w:before="240" w:after="120" w:line="288" w:lineRule="auto"/>
        <w:ind w:left="0" w:firstLine="708"/>
        <w:rPr>
          <w:szCs w:val="28"/>
          <w:lang w:val="ru-RU"/>
        </w:rPr>
      </w:pPr>
      <w:r w:rsidRPr="00EF5387">
        <w:rPr>
          <w:szCs w:val="28"/>
          <w:lang w:val="ru-RU"/>
        </w:rPr>
        <w:t>Таблица 2 – Анализ структуры основных средств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1218"/>
        <w:gridCol w:w="1382"/>
        <w:gridCol w:w="1260"/>
        <w:gridCol w:w="1382"/>
        <w:gridCol w:w="1499"/>
      </w:tblGrid>
      <w:tr w:rsidR="00FB034F" w:rsidRPr="00EF5387" w:rsidTr="00FB034F">
        <w:trPr>
          <w:trHeight w:val="471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FB034F">
            <w:pPr>
              <w:pStyle w:val="3"/>
              <w:spacing w:line="288" w:lineRule="auto"/>
              <w:ind w:left="0" w:firstLine="0"/>
              <w:jc w:val="center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Вид основных средств</w:t>
            </w:r>
          </w:p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rPr>
                <w:szCs w:val="28"/>
                <w:lang w:val="ru-RU"/>
              </w:rPr>
            </w:pP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Базисный период</w:t>
            </w: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Структура, %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Отчетный период</w:t>
            </w: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Структура, %</w:t>
            </w: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Отклонение структуры, %</w:t>
            </w:r>
          </w:p>
        </w:tc>
      </w:tr>
      <w:tr w:rsidR="00FB034F" w:rsidRPr="00EF5387" w:rsidTr="00FB034F">
        <w:trPr>
          <w:trHeight w:val="300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Машины и оборудование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00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Транспортные средства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00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b/>
                <w:szCs w:val="28"/>
                <w:lang w:val="ru-RU"/>
              </w:rPr>
            </w:pPr>
            <w:r w:rsidRPr="00EF5387">
              <w:rPr>
                <w:b/>
                <w:szCs w:val="28"/>
                <w:lang w:val="ru-RU"/>
              </w:rPr>
              <w:t>Итого активная часть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13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Здания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288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Сооружения, передаточные устройства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37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>Производственный хозяйственный инвентарь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50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EF5387">
              <w:rPr>
                <w:szCs w:val="28"/>
                <w:lang w:val="ru-RU"/>
              </w:rPr>
              <w:t xml:space="preserve">Другие 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75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b/>
                <w:szCs w:val="28"/>
                <w:lang w:val="ru-RU"/>
              </w:rPr>
            </w:pPr>
            <w:r w:rsidRPr="00EF5387">
              <w:rPr>
                <w:b/>
                <w:szCs w:val="28"/>
                <w:lang w:val="ru-RU"/>
              </w:rPr>
              <w:t>Итого пассивная часть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FB034F" w:rsidRPr="00EF5387" w:rsidTr="00FB034F">
        <w:trPr>
          <w:trHeight w:val="365"/>
          <w:jc w:val="center"/>
        </w:trPr>
        <w:tc>
          <w:tcPr>
            <w:tcW w:w="236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b/>
                <w:szCs w:val="28"/>
                <w:lang w:val="ru-RU"/>
              </w:rPr>
            </w:pPr>
            <w:r w:rsidRPr="00EF5387">
              <w:rPr>
                <w:b/>
                <w:szCs w:val="28"/>
                <w:lang w:val="ru-RU"/>
              </w:rPr>
              <w:t>Всего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  <w:vAlign w:val="center"/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99" w:type="dxa"/>
            <w:tcMar>
              <w:left w:w="28" w:type="dxa"/>
              <w:right w:w="28" w:type="dxa"/>
            </w:tcMar>
          </w:tcPr>
          <w:p w:rsidR="00AF496F" w:rsidRPr="00EF5387" w:rsidRDefault="00AF496F" w:rsidP="00A2064B">
            <w:pPr>
              <w:pStyle w:val="3"/>
              <w:spacing w:line="288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AF496F" w:rsidRPr="00622321" w:rsidRDefault="00AF496F" w:rsidP="00AF496F">
      <w:pPr>
        <w:pStyle w:val="3"/>
        <w:spacing w:line="288" w:lineRule="auto"/>
        <w:ind w:left="0" w:firstLine="0"/>
        <w:jc w:val="center"/>
        <w:rPr>
          <w:szCs w:val="28"/>
          <w:lang w:val="ru-RU"/>
        </w:rPr>
      </w:pPr>
    </w:p>
    <w:p w:rsidR="00AF496F" w:rsidRDefault="00AF496F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Графическое представление структуры основных средств может основываться на таком графике (рис.).</w:t>
      </w:r>
    </w:p>
    <w:p w:rsidR="00EF5387" w:rsidRDefault="00EF5387" w:rsidP="00EF5387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3E7767">
        <w:rPr>
          <w:szCs w:val="28"/>
          <w:lang w:val="ru-RU"/>
        </w:rPr>
        <w:t xml:space="preserve">Для характеристики состояния основных средств рассчитываются коэффициенты износа и годности. </w:t>
      </w:r>
    </w:p>
    <w:p w:rsidR="00EF5387" w:rsidRDefault="00EF5387" w:rsidP="00EF5387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Коэффициент износа следует рассчитывать на конец каждого отчетного периода по формуле:</w:t>
      </w:r>
    </w:p>
    <w:p w:rsidR="00EF5387" w:rsidRDefault="00EF5387" w:rsidP="00EF5387">
      <w:pPr>
        <w:pStyle w:val="3"/>
        <w:spacing w:before="120" w:after="120" w:line="288" w:lineRule="auto"/>
        <w:ind w:left="0" w:firstLine="0"/>
        <w:jc w:val="right"/>
        <w:rPr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изн.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к.п.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к.п.</m:t>
                </m:r>
              </m:sub>
            </m:sSub>
          </m:den>
        </m:f>
        <m:r>
          <w:rPr>
            <w:rFonts w:ascii="Cambria Math" w:hAnsi="Cambria Math"/>
            <w:szCs w:val="28"/>
            <w:lang w:val="ru-RU"/>
          </w:rPr>
          <m:t>×100</m:t>
        </m:r>
      </m:oMath>
      <w:r>
        <w:rPr>
          <w:szCs w:val="28"/>
          <w:lang w:val="ru-RU"/>
        </w:rPr>
        <w:t xml:space="preserve">,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EF5387" w:rsidRDefault="00EF5387" w:rsidP="00EF5387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где </w:t>
      </w:r>
      <w:proofErr w:type="spellStart"/>
      <w:r>
        <w:rPr>
          <w:szCs w:val="28"/>
          <w:lang w:val="ru-RU"/>
        </w:rPr>
        <w:t>А</w:t>
      </w:r>
      <w:r>
        <w:rPr>
          <w:szCs w:val="28"/>
          <w:vertAlign w:val="subscript"/>
          <w:lang w:val="ru-RU"/>
        </w:rPr>
        <w:t>к.п</w:t>
      </w:r>
      <w:proofErr w:type="spellEnd"/>
      <w:r>
        <w:rPr>
          <w:szCs w:val="28"/>
          <w:vertAlign w:val="subscript"/>
          <w:lang w:val="ru-RU"/>
        </w:rPr>
        <w:t>.</w:t>
      </w:r>
      <w:r>
        <w:rPr>
          <w:szCs w:val="28"/>
          <w:lang w:val="ru-RU"/>
        </w:rPr>
        <w:t xml:space="preserve"> – накопленная амортизация основных средств на конец периода, руб. (2 раздел формы №5);</w:t>
      </w:r>
    </w:p>
    <w:p w:rsidR="00EF5387" w:rsidRDefault="00EF5387" w:rsidP="00EF5387">
      <w:pPr>
        <w:pStyle w:val="3"/>
        <w:spacing w:line="288" w:lineRule="auto"/>
        <w:ind w:left="0"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lastRenderedPageBreak/>
        <w:t>ПС</w:t>
      </w:r>
      <w:r>
        <w:rPr>
          <w:szCs w:val="28"/>
          <w:vertAlign w:val="subscript"/>
          <w:lang w:val="ru-RU"/>
        </w:rPr>
        <w:t>к.п</w:t>
      </w:r>
      <w:proofErr w:type="spellEnd"/>
      <w:r>
        <w:rPr>
          <w:szCs w:val="28"/>
          <w:vertAlign w:val="subscript"/>
          <w:lang w:val="ru-RU"/>
        </w:rPr>
        <w:t>.</w:t>
      </w:r>
      <w:r>
        <w:rPr>
          <w:szCs w:val="28"/>
          <w:lang w:val="ru-RU"/>
        </w:rPr>
        <w:t xml:space="preserve"> – первоначальная стоимость основных средств на конец периода, руб. (2 раздел формы №5).</w:t>
      </w:r>
    </w:p>
    <w:p w:rsidR="00EF5387" w:rsidRDefault="00EF5387" w:rsidP="00AF496F">
      <w:pPr>
        <w:pStyle w:val="3"/>
        <w:spacing w:line="288" w:lineRule="auto"/>
        <w:ind w:left="0" w:firstLine="0"/>
        <w:rPr>
          <w:szCs w:val="28"/>
          <w:lang w:val="ru-RU"/>
        </w:rPr>
      </w:pPr>
    </w:p>
    <w:p w:rsidR="00EF5387" w:rsidRDefault="00EF5387" w:rsidP="00AF496F">
      <w:pPr>
        <w:pStyle w:val="3"/>
        <w:spacing w:line="288" w:lineRule="auto"/>
        <w:ind w:left="0" w:firstLine="0"/>
        <w:rPr>
          <w:szCs w:val="28"/>
          <w:lang w:val="ru-RU"/>
        </w:rPr>
      </w:pPr>
    </w:p>
    <w:p w:rsidR="00EF5387" w:rsidRDefault="00EF5387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 w:rsidRPr="006864B3">
        <w:rPr>
          <w:noProof/>
          <w:szCs w:val="28"/>
          <w:lang w:eastAsia="uk-UA"/>
        </w:rPr>
        <w:drawing>
          <wp:inline distT="0" distB="0" distL="0" distR="0" wp14:anchorId="07C6398B" wp14:editId="5A9A49B5">
            <wp:extent cx="5543550" cy="3412105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5387" w:rsidRPr="00622321" w:rsidRDefault="00EF5387" w:rsidP="00EF5387">
      <w:pPr>
        <w:pStyle w:val="3"/>
        <w:spacing w:before="120" w:after="240" w:line="288" w:lineRule="auto"/>
        <w:ind w:lef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Рисунок – Структура основных средств предприятия, %</w:t>
      </w:r>
    </w:p>
    <w:p w:rsidR="00EF5387" w:rsidRPr="00622321" w:rsidRDefault="00EF5387" w:rsidP="00AF496F">
      <w:pPr>
        <w:pStyle w:val="3"/>
        <w:spacing w:line="288" w:lineRule="auto"/>
        <w:ind w:left="0" w:firstLine="0"/>
        <w:rPr>
          <w:szCs w:val="28"/>
          <w:lang w:val="ru-RU"/>
        </w:rPr>
      </w:pPr>
    </w:p>
    <w:p w:rsidR="00AF496F" w:rsidRDefault="00AF496F" w:rsidP="00AF496F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Коэффициент годности (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год.</m:t>
            </m:r>
          </m:sub>
        </m:sSub>
        <m:r>
          <w:rPr>
            <w:rFonts w:ascii="Cambria Math" w:hAnsi="Cambria Math"/>
            <w:szCs w:val="28"/>
            <w:lang w:val="ru-RU"/>
          </w:rPr>
          <m:t>)</m:t>
        </m:r>
      </m:oMath>
      <w:r>
        <w:rPr>
          <w:szCs w:val="28"/>
          <w:lang w:val="ru-RU"/>
        </w:rPr>
        <w:t xml:space="preserve"> обратный показатель коэффициента износа и рассчитывается по формуле:</w:t>
      </w:r>
    </w:p>
    <w:p w:rsidR="00AF496F" w:rsidRDefault="00AF496F" w:rsidP="00AF496F">
      <w:pPr>
        <w:pStyle w:val="3"/>
        <w:spacing w:before="120" w:after="120" w:line="288" w:lineRule="auto"/>
        <w:ind w:left="0" w:firstLine="0"/>
        <w:jc w:val="right"/>
        <w:rPr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год.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100%-К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изн.</m:t>
            </m:r>
          </m:sub>
        </m:sSub>
      </m:oMath>
      <w:r>
        <w:rPr>
          <w:szCs w:val="28"/>
          <w:lang w:val="ru-RU"/>
        </w:rPr>
        <w:t xml:space="preserve">,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F496F" w:rsidRDefault="00FB034F" w:rsidP="00AF496F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AF496F">
        <w:rPr>
          <w:szCs w:val="28"/>
          <w:lang w:val="ru-RU"/>
        </w:rPr>
        <w:t>К показателям движения</w:t>
      </w:r>
      <w:r w:rsidR="00AF496F" w:rsidRPr="003E7767">
        <w:rPr>
          <w:szCs w:val="28"/>
          <w:lang w:val="ru-RU"/>
        </w:rPr>
        <w:t xml:space="preserve"> основных средств относят абсолютные показатели поступления и выбытия основных средств за анализируемый период, а также коэффициенты выбытия и обновления основных средств.</w:t>
      </w:r>
      <w:r w:rsidR="00AF496F">
        <w:rPr>
          <w:szCs w:val="28"/>
          <w:lang w:val="ru-RU"/>
        </w:rPr>
        <w:t xml:space="preserve"> </w:t>
      </w:r>
    </w:p>
    <w:p w:rsidR="00AF496F" w:rsidRDefault="00AF496F" w:rsidP="00AF496F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Коэффициент поступления основных средств (</w:t>
      </w:r>
      <w:proofErr w:type="spellStart"/>
      <w:r>
        <w:rPr>
          <w:szCs w:val="28"/>
          <w:lang w:val="ru-RU"/>
        </w:rPr>
        <w:t>К</w:t>
      </w:r>
      <w:r>
        <w:rPr>
          <w:szCs w:val="28"/>
          <w:vertAlign w:val="subscript"/>
          <w:lang w:val="ru-RU"/>
        </w:rPr>
        <w:t>пост</w:t>
      </w:r>
      <w:proofErr w:type="spellEnd"/>
      <w:r>
        <w:rPr>
          <w:szCs w:val="28"/>
          <w:vertAlign w:val="subscript"/>
          <w:lang w:val="ru-RU"/>
        </w:rPr>
        <w:t>.</w:t>
      </w:r>
      <w:r>
        <w:rPr>
          <w:szCs w:val="28"/>
          <w:lang w:val="ru-RU"/>
        </w:rPr>
        <w:t>) рассчитывается по формуле:</w:t>
      </w:r>
    </w:p>
    <w:p w:rsidR="00AF496F" w:rsidRDefault="00AF496F" w:rsidP="00AF496F">
      <w:pPr>
        <w:pStyle w:val="3"/>
        <w:spacing w:before="120" w:after="120" w:line="288" w:lineRule="auto"/>
        <w:ind w:left="0" w:firstLine="0"/>
        <w:jc w:val="right"/>
        <w:rPr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пост.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пост.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н.г.</m:t>
                </m:r>
              </m:sub>
            </m:sSub>
          </m:den>
        </m:f>
        <m:r>
          <w:rPr>
            <w:rFonts w:ascii="Cambria Math" w:hAnsi="Cambria Math"/>
            <w:szCs w:val="28"/>
            <w:lang w:val="ru-RU"/>
          </w:rPr>
          <m:t>×100</m:t>
        </m:r>
      </m:oMath>
      <w:r>
        <w:rPr>
          <w:szCs w:val="28"/>
          <w:lang w:val="ru-RU"/>
        </w:rPr>
        <w:t xml:space="preserve">,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F496F" w:rsidRDefault="00AF496F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 xml:space="preserve">где </w:t>
      </w:r>
      <w:proofErr w:type="spellStart"/>
      <w:r>
        <w:rPr>
          <w:szCs w:val="28"/>
          <w:lang w:val="ru-RU"/>
        </w:rPr>
        <w:t>ОС</w:t>
      </w:r>
      <w:r>
        <w:rPr>
          <w:szCs w:val="28"/>
          <w:vertAlign w:val="subscript"/>
          <w:lang w:val="ru-RU"/>
        </w:rPr>
        <w:t>пост</w:t>
      </w:r>
      <w:proofErr w:type="spellEnd"/>
      <w:r>
        <w:rPr>
          <w:szCs w:val="28"/>
          <w:vertAlign w:val="subscript"/>
          <w:lang w:val="ru-RU"/>
        </w:rPr>
        <w:t xml:space="preserve">. </w:t>
      </w:r>
      <w:r>
        <w:rPr>
          <w:szCs w:val="28"/>
          <w:lang w:val="ru-RU"/>
        </w:rPr>
        <w:t>– первоначальная стоимость поступивших в течении года основных средств, руб.;</w:t>
      </w:r>
    </w:p>
    <w:p w:rsidR="00AF496F" w:rsidRDefault="00AF496F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ПС</w:t>
      </w:r>
      <w:r>
        <w:rPr>
          <w:szCs w:val="28"/>
          <w:vertAlign w:val="subscript"/>
          <w:lang w:val="ru-RU"/>
        </w:rPr>
        <w:t>н.г</w:t>
      </w:r>
      <w:proofErr w:type="spellEnd"/>
      <w:r>
        <w:rPr>
          <w:szCs w:val="28"/>
          <w:vertAlign w:val="subscript"/>
          <w:lang w:val="ru-RU"/>
        </w:rPr>
        <w:t>.</w:t>
      </w:r>
      <w:r>
        <w:rPr>
          <w:szCs w:val="28"/>
          <w:lang w:val="ru-RU"/>
        </w:rPr>
        <w:t xml:space="preserve"> – первоначальная стоимость основных средств на начало периода, руб.</w:t>
      </w:r>
    </w:p>
    <w:p w:rsidR="00AF496F" w:rsidRDefault="00AF496F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ab/>
        <w:t>Коэффициент выбытия основных средств (</w:t>
      </w:r>
      <w:proofErr w:type="spellStart"/>
      <w:r>
        <w:rPr>
          <w:szCs w:val="28"/>
          <w:lang w:val="ru-RU"/>
        </w:rPr>
        <w:t>К</w:t>
      </w:r>
      <w:r>
        <w:rPr>
          <w:szCs w:val="28"/>
          <w:vertAlign w:val="subscript"/>
          <w:lang w:val="ru-RU"/>
        </w:rPr>
        <w:t>выб</w:t>
      </w:r>
      <w:proofErr w:type="spellEnd"/>
      <w:r>
        <w:rPr>
          <w:szCs w:val="28"/>
          <w:vertAlign w:val="subscript"/>
          <w:lang w:val="ru-RU"/>
        </w:rPr>
        <w:t>.</w:t>
      </w:r>
      <w:r>
        <w:rPr>
          <w:szCs w:val="28"/>
          <w:lang w:val="ru-RU"/>
        </w:rPr>
        <w:t>) рассчитывается из соотношения:</w:t>
      </w:r>
    </w:p>
    <w:p w:rsidR="00AF496F" w:rsidRDefault="00AF496F" w:rsidP="00AF496F">
      <w:pPr>
        <w:pStyle w:val="3"/>
        <w:spacing w:before="120" w:after="120" w:line="288" w:lineRule="auto"/>
        <w:ind w:left="0" w:firstLine="0"/>
        <w:jc w:val="right"/>
        <w:rPr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выб.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выб.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к.г.</m:t>
                </m:r>
              </m:sub>
            </m:sSub>
          </m:den>
        </m:f>
        <m:r>
          <w:rPr>
            <w:rFonts w:ascii="Cambria Math" w:hAnsi="Cambria Math"/>
            <w:szCs w:val="28"/>
            <w:lang w:val="ru-RU"/>
          </w:rPr>
          <m:t>×100</m:t>
        </m:r>
      </m:oMath>
      <w:r>
        <w:rPr>
          <w:szCs w:val="28"/>
          <w:lang w:val="ru-RU"/>
        </w:rPr>
        <w:t xml:space="preserve">,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F496F" w:rsidRDefault="00AF496F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 xml:space="preserve">где </w:t>
      </w:r>
      <w:proofErr w:type="spellStart"/>
      <w:r>
        <w:rPr>
          <w:szCs w:val="28"/>
          <w:lang w:val="ru-RU"/>
        </w:rPr>
        <w:t>ОС</w:t>
      </w:r>
      <w:r>
        <w:rPr>
          <w:szCs w:val="28"/>
          <w:vertAlign w:val="subscript"/>
          <w:lang w:val="ru-RU"/>
        </w:rPr>
        <w:t>выб</w:t>
      </w:r>
      <w:proofErr w:type="spellEnd"/>
      <w:r>
        <w:rPr>
          <w:szCs w:val="28"/>
          <w:vertAlign w:val="subscript"/>
          <w:lang w:val="ru-RU"/>
        </w:rPr>
        <w:t xml:space="preserve">. </w:t>
      </w:r>
      <w:r>
        <w:rPr>
          <w:szCs w:val="28"/>
          <w:lang w:val="ru-RU"/>
        </w:rPr>
        <w:t>– первоначальная стоимость выбывших в течение года основных средств, руб.;</w:t>
      </w:r>
    </w:p>
    <w:p w:rsidR="00AF496F" w:rsidRDefault="00AF496F" w:rsidP="00AF496F">
      <w:pPr>
        <w:pStyle w:val="3"/>
        <w:spacing w:line="288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ПС</w:t>
      </w:r>
      <w:r>
        <w:rPr>
          <w:szCs w:val="28"/>
          <w:vertAlign w:val="subscript"/>
          <w:lang w:val="ru-RU"/>
        </w:rPr>
        <w:t>к.г</w:t>
      </w:r>
      <w:proofErr w:type="spellEnd"/>
      <w:r>
        <w:rPr>
          <w:szCs w:val="28"/>
          <w:vertAlign w:val="subscript"/>
          <w:lang w:val="ru-RU"/>
        </w:rPr>
        <w:t>.</w:t>
      </w:r>
      <w:r>
        <w:rPr>
          <w:szCs w:val="28"/>
          <w:lang w:val="ru-RU"/>
        </w:rPr>
        <w:t xml:space="preserve"> – первоначальная стоимость основных средств на конец периода, руб.</w:t>
      </w:r>
    </w:p>
    <w:p w:rsidR="00AF496F" w:rsidRDefault="00FB034F" w:rsidP="00AF496F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5. </w:t>
      </w:r>
      <w:r w:rsidR="00AF496F" w:rsidRPr="003E7767">
        <w:rPr>
          <w:szCs w:val="28"/>
          <w:lang w:val="ru-RU"/>
        </w:rPr>
        <w:t>Основным показателем эффективности использования основных средств является общая фондоотдача и фондоотдача активной части оборудования.</w:t>
      </w:r>
    </w:p>
    <w:p w:rsidR="00AF496F" w:rsidRDefault="00AF496F" w:rsidP="00AF496F">
      <w:pPr>
        <w:pStyle w:val="3"/>
        <w:spacing w:line="288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Общая фондоотдача рассчитывается по формуле:</w:t>
      </w:r>
    </w:p>
    <w:p w:rsidR="00AF496F" w:rsidRDefault="00AF496F" w:rsidP="00AF496F">
      <w:pPr>
        <w:pStyle w:val="3"/>
        <w:spacing w:before="120" w:after="120" w:line="288" w:lineRule="auto"/>
        <w:ind w:left="0" w:firstLine="0"/>
        <w:jc w:val="right"/>
        <w:rPr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Ф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отд.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Cs w:val="28"/>
                <w:lang w:val="ru-RU"/>
              </w:rPr>
              <m:t>ВР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ОС</m:t>
                </m:r>
              </m:e>
            </m:acc>
          </m:den>
        </m:f>
      </m:oMath>
      <w:r>
        <w:rPr>
          <w:szCs w:val="28"/>
          <w:lang w:val="ru-RU"/>
        </w:rPr>
        <w:t xml:space="preserve">, руб./руб.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F496F" w:rsidRPr="00202BAE" w:rsidRDefault="00AF496F" w:rsidP="00AF496F">
      <w:pPr>
        <w:pStyle w:val="3"/>
        <w:spacing w:line="288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где </w:t>
      </w:r>
      <w:r w:rsidRPr="00202BAE">
        <w:rPr>
          <w:i/>
          <w:szCs w:val="28"/>
          <w:lang w:val="ru-RU"/>
        </w:rPr>
        <w:t>ВР</w:t>
      </w:r>
      <w:r>
        <w:rPr>
          <w:i/>
          <w:szCs w:val="28"/>
          <w:lang w:val="ru-RU"/>
        </w:rPr>
        <w:t xml:space="preserve"> </w:t>
      </w:r>
      <w:r>
        <w:rPr>
          <w:szCs w:val="28"/>
          <w:lang w:val="ru-RU"/>
        </w:rPr>
        <w:t>– выручка от реализации, руб.;</w:t>
      </w:r>
    </w:p>
    <w:p w:rsidR="00AF496F" w:rsidRPr="00457B48" w:rsidRDefault="00D24FF4" w:rsidP="00AF496F">
      <w:pPr>
        <w:pStyle w:val="3"/>
        <w:spacing w:line="288" w:lineRule="auto"/>
        <w:ind w:firstLine="0"/>
        <w:rPr>
          <w:szCs w:val="28"/>
          <w:lang w:val="ru-RU"/>
        </w:rPr>
      </w:pPr>
      <w:r w:rsidRPr="00954954">
        <w:rPr>
          <w:noProof/>
          <w:position w:val="-6"/>
        </w:rPr>
        <w:object w:dxaOrig="400" w:dyaOrig="340" w14:anchorId="410AA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05pt;height:17.3pt;mso-width-percent:0;mso-height-percent:0;mso-width-percent:0;mso-height-percent:0" o:ole="">
            <v:imagedata r:id="rId6" o:title=""/>
          </v:shape>
          <o:OLEObject Type="Embed" ProgID="Equation.3" ShapeID="_x0000_i1025" DrawAspect="Content" ObjectID="_1664867821" r:id="rId7"/>
        </w:object>
      </w:r>
      <w:r w:rsidR="00AF496F">
        <w:rPr>
          <w:szCs w:val="28"/>
          <w:lang w:val="ru-RU"/>
        </w:rPr>
        <w:t>–</w:t>
      </w:r>
      <w:r w:rsidR="00AF496F" w:rsidRPr="00457B48">
        <w:rPr>
          <w:szCs w:val="28"/>
          <w:lang w:val="ru-RU"/>
        </w:rPr>
        <w:t xml:space="preserve"> средняя годовая стои</w:t>
      </w:r>
      <w:r w:rsidR="00AF496F">
        <w:rPr>
          <w:szCs w:val="28"/>
          <w:lang w:val="ru-RU"/>
        </w:rPr>
        <w:t>мость основных средств, руб</w:t>
      </w:r>
      <w:r w:rsidR="00AF496F" w:rsidRPr="00457B48">
        <w:rPr>
          <w:szCs w:val="28"/>
          <w:lang w:val="ru-RU"/>
        </w:rPr>
        <w:t>.;</w:t>
      </w:r>
    </w:p>
    <w:p w:rsidR="00AF496F" w:rsidRDefault="00AF496F" w:rsidP="00FB034F">
      <w:pPr>
        <w:pStyle w:val="3"/>
        <w:spacing w:line="360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Средняя годовая стоимость основных средств рассчитывается как средняя арифметическая простая первоначальной стоимости основных средств на начало и конец периода.</w:t>
      </w:r>
    </w:p>
    <w:p w:rsidR="00AF496F" w:rsidRDefault="00AF496F" w:rsidP="00FB034F">
      <w:pPr>
        <w:pStyle w:val="3"/>
        <w:spacing w:line="360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Фондоотдача активной части основных средств рассчитывается по формуле:</w:t>
      </w:r>
    </w:p>
    <w:p w:rsidR="00AF496F" w:rsidRDefault="00AF496F" w:rsidP="00FB034F">
      <w:pPr>
        <w:pStyle w:val="3"/>
        <w:spacing w:before="120" w:after="120" w:line="360" w:lineRule="auto"/>
        <w:ind w:left="0" w:firstLine="0"/>
        <w:jc w:val="right"/>
        <w:rPr>
          <w:szCs w:val="28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Cs w:val="28"/>
                <w:lang w:val="ru-RU"/>
              </w:rPr>
              <m:t>Ф</m:t>
            </m:r>
          </m:e>
          <m:sup>
            <m:r>
              <w:rPr>
                <w:rFonts w:ascii="Cambria Math" w:hAnsi="Cambria Math"/>
                <w:szCs w:val="28"/>
                <w:lang w:val="ru-RU"/>
              </w:rPr>
              <m:t>а</m:t>
            </m:r>
          </m:sup>
        </m:sSup>
        <m:r>
          <w:rPr>
            <w:rFonts w:ascii="Cambria Math" w:hAnsi="Cambria Math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Cs w:val="28"/>
                <w:lang w:val="ru-RU"/>
              </w:rPr>
              <m:t>ВР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ru-RU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val="ru-RU"/>
                      </w:rPr>
                      <m:t>акт.</m:t>
                    </m:r>
                  </m:sub>
                </m:sSub>
              </m:e>
            </m:acc>
          </m:den>
        </m:f>
      </m:oMath>
      <w:r>
        <w:rPr>
          <w:szCs w:val="28"/>
          <w:lang w:val="ru-RU"/>
        </w:rPr>
        <w:t xml:space="preserve">, руб./руб.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AF496F" w:rsidRPr="003E7767" w:rsidRDefault="00AF496F" w:rsidP="00FB034F">
      <w:pPr>
        <w:pStyle w:val="3"/>
        <w:spacing w:line="360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 xml:space="preserve">где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ru-RU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акт.</m:t>
                </m:r>
              </m:sub>
            </m:sSub>
          </m:e>
        </m:acc>
      </m:oMath>
      <w:r>
        <w:rPr>
          <w:szCs w:val="28"/>
          <w:lang w:val="ru-RU"/>
        </w:rPr>
        <w:t xml:space="preserve"> – средняя годовая стоимость активной части основных средств, руб.</w:t>
      </w:r>
    </w:p>
    <w:p w:rsidR="00AF496F" w:rsidRDefault="00FB034F" w:rsidP="00FB03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Фондовооруженность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 уровень обеспеченности работников предприятия основными средствами, увеличение значения показателя за период исследования, указывает на положительную динамику эффективности использования основных средств. Рассчитывается по формуле:</w:t>
      </w:r>
    </w:p>
    <w:p w:rsidR="00FB034F" w:rsidRDefault="00FB034F" w:rsidP="00FB034F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воор.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acc>
              <m:accPr>
                <m:chr m:val="̿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ОС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Ч</m:t>
            </m:r>
          </m:den>
        </m:f>
      </m:oMath>
      <w:r w:rsidRPr="00FB034F">
        <w:rPr>
          <w:rFonts w:ascii="Times New Roman" w:hAnsi="Times New Roman" w:cs="Times New Roman"/>
          <w:sz w:val="28"/>
          <w:szCs w:val="28"/>
          <w:lang w:val="ru-RU"/>
        </w:rPr>
        <w:t>, руб./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чел. </w:t>
      </w:r>
    </w:p>
    <w:p w:rsidR="00FB034F" w:rsidRDefault="00FB034F" w:rsidP="00FB03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034F" w:rsidRPr="00AF496F" w:rsidRDefault="00FB034F" w:rsidP="00FB03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Ч – численность работников в исследуемом периоде, чел. </w:t>
      </w:r>
    </w:p>
    <w:sectPr w:rsidR="00FB034F" w:rsidRPr="00AF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5B46"/>
    <w:multiLevelType w:val="hybridMultilevel"/>
    <w:tmpl w:val="B000637A"/>
    <w:lvl w:ilvl="0" w:tplc="0ACA63A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4677AA6"/>
    <w:multiLevelType w:val="hybridMultilevel"/>
    <w:tmpl w:val="6542FF74"/>
    <w:lvl w:ilvl="0" w:tplc="7C2C14A6">
      <w:start w:val="1"/>
      <w:numFmt w:val="decimal"/>
      <w:lvlText w:val="%1."/>
      <w:lvlJc w:val="left"/>
      <w:pPr>
        <w:ind w:left="1168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B001D"/>
    <w:multiLevelType w:val="hybridMultilevel"/>
    <w:tmpl w:val="E8A245EC"/>
    <w:lvl w:ilvl="0" w:tplc="A9CC8EE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8BA13D4"/>
    <w:multiLevelType w:val="hybridMultilevel"/>
    <w:tmpl w:val="19D2FE56"/>
    <w:lvl w:ilvl="0" w:tplc="C60414B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6CB5896"/>
    <w:multiLevelType w:val="hybridMultilevel"/>
    <w:tmpl w:val="CC08CF28"/>
    <w:lvl w:ilvl="0" w:tplc="A22A9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23763C"/>
    <w:multiLevelType w:val="hybridMultilevel"/>
    <w:tmpl w:val="E8246AF0"/>
    <w:lvl w:ilvl="0" w:tplc="94FE7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FE"/>
    <w:rsid w:val="002427BB"/>
    <w:rsid w:val="00543710"/>
    <w:rsid w:val="00AF496F"/>
    <w:rsid w:val="00D24FF4"/>
    <w:rsid w:val="00D97FFE"/>
    <w:rsid w:val="00EF5387"/>
    <w:rsid w:val="00F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C089"/>
  <w15:chartTrackingRefBased/>
  <w15:docId w15:val="{D723A3D7-ECE4-4249-AB52-C25E504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7BB"/>
    <w:pPr>
      <w:ind w:left="720"/>
      <w:contextualSpacing/>
    </w:pPr>
  </w:style>
  <w:style w:type="paragraph" w:styleId="3">
    <w:name w:val="Body Text Indent 3"/>
    <w:basedOn w:val="a"/>
    <w:link w:val="30"/>
    <w:rsid w:val="00AF496F"/>
    <w:pPr>
      <w:spacing w:line="380" w:lineRule="exact"/>
      <w:ind w:left="709"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AF496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209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164371768134741"/>
          <c:y val="1.9489074129663483E-2"/>
          <c:w val="0.44500656040662367"/>
          <c:h val="0.62463782588345862"/>
        </c:manualLayout>
      </c:layout>
      <c:pie3DChart>
        <c:varyColors val="1"/>
        <c:ser>
          <c:idx val="0"/>
          <c:order val="0"/>
          <c:tx>
            <c:strRef>
              <c:f>Лист1!$B$3:$B$8</c:f>
              <c:strCache>
                <c:ptCount val="1"/>
                <c:pt idx="0">
                  <c:v>Здания Машины и оборудование Сооружения, передаточные устройства Транспортные средства Производственный хозяйственный инвентарь Другие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3230814096955825E-3"/>
                  <c:y val="-2.61223256183886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C2-0243-A450-A6E5FD2FD9AF}"/>
                </c:ext>
              </c:extLst>
            </c:dLbl>
            <c:dLbl>
              <c:idx val="1"/>
              <c:layout>
                <c:manualLayout>
                  <c:x val="6.2166588150840522E-3"/>
                  <c:y val="-6.198997852541171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C2-0243-A450-A6E5FD2FD9AF}"/>
                </c:ext>
              </c:extLst>
            </c:dLbl>
            <c:dLbl>
              <c:idx val="2"/>
              <c:layout>
                <c:manualLayout>
                  <c:x val="3.6679722726967047E-2"/>
                  <c:y val="-3.89122723295952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C2-0243-A450-A6E5FD2FD9AF}"/>
                </c:ext>
              </c:extLst>
            </c:dLbl>
            <c:dLbl>
              <c:idx val="3"/>
              <c:layout>
                <c:manualLayout>
                  <c:x val="7.5567220764071446E-3"/>
                  <c:y val="2.13708740952836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C2-0243-A450-A6E5FD2FD9AF}"/>
                </c:ext>
              </c:extLst>
            </c:dLbl>
            <c:dLbl>
              <c:idx val="4"/>
              <c:layout>
                <c:manualLayout>
                  <c:x val="9.9793166879781365E-3"/>
                  <c:y val="6.354792014634562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C2-0243-A450-A6E5FD2FD9AF}"/>
                </c:ext>
              </c:extLst>
            </c:dLbl>
            <c:dLbl>
              <c:idx val="5"/>
              <c:layout>
                <c:manualLayout>
                  <c:x val="-6.2265204028983834E-2"/>
                  <c:y val="6.56317505766324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C2-0243-A450-A6E5FD2FD9AF}"/>
                </c:ext>
              </c:extLst>
            </c:dLbl>
            <c:dLbl>
              <c:idx val="6"/>
              <c:layout>
                <c:manualLayout>
                  <c:x val="8.38462717933455E-2"/>
                  <c:y val="-0.2176996311660992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C2-0243-A450-A6E5FD2FD9A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Лист1!$B$3:$B$8</c:f>
              <c:strCache>
                <c:ptCount val="6"/>
                <c:pt idx="0">
                  <c:v>Здания</c:v>
                </c:pt>
                <c:pt idx="1">
                  <c:v>Машины и оборудование</c:v>
                </c:pt>
                <c:pt idx="2">
                  <c:v>Сооружения, передаточные устройства</c:v>
                </c:pt>
                <c:pt idx="3">
                  <c:v>Транспортные средства</c:v>
                </c:pt>
                <c:pt idx="4">
                  <c:v>Производственный хозяйственный инвентарь</c:v>
                </c:pt>
                <c:pt idx="5">
                  <c:v>Другие</c:v>
                </c:pt>
              </c:strCache>
            </c:strRef>
          </c:cat>
          <c:val>
            <c:numRef>
              <c:f>Лист1!$E$3:$E$9</c:f>
              <c:numCache>
                <c:formatCode>General</c:formatCode>
                <c:ptCount val="7"/>
                <c:pt idx="0">
                  <c:v>1200</c:v>
                </c:pt>
                <c:pt idx="1">
                  <c:v>600</c:v>
                </c:pt>
                <c:pt idx="2">
                  <c:v>500</c:v>
                </c:pt>
                <c:pt idx="3">
                  <c:v>450</c:v>
                </c:pt>
                <c:pt idx="4">
                  <c:v>150</c:v>
                </c:pt>
                <c:pt idx="5">
                  <c:v>350</c:v>
                </c:pt>
                <c:pt idx="6">
                  <c:v>3250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2C2-0243-A450-A6E5FD2FD9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5.3969012085530981E-4"/>
          <c:y val="0.68886334790657422"/>
          <c:w val="0.95638008024456"/>
          <c:h val="0.23968546916060091"/>
        </c:manualLayout>
      </c:layout>
      <c:overlay val="0"/>
      <c:txPr>
        <a:bodyPr/>
        <a:lstStyle/>
        <a:p>
          <a:pPr rtl="0">
            <a:defRPr/>
          </a:pPr>
          <a:endParaRPr lang="ru-UA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2020-10-22T06:36:00Z</dcterms:created>
  <dcterms:modified xsi:type="dcterms:W3CDTF">2020-10-22T07:30:00Z</dcterms:modified>
</cp:coreProperties>
</file>