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1DEEE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Ind w:w="-852" w:type="dxa"/>
        <w:tblLayout w:type="fixed"/>
        <w:tblLook w:val="04A0"/>
      </w:tblPr>
      <w:tblGrid/>
      <w:tr>
        <w:trPr>
          <w:gridBefore w:val="0"/>
          <w:gridAfter w:val="0"/>
        </w:trPr>
        <w:tc>
          <w:tcPr>
            <w:tcW w:w="1485" w:type="dxa"/>
          </w:tcPr>
          <w:p>
            <w:r>
              <w:t>Отдел</w:t>
            </w:r>
          </w:p>
        </w:tc>
        <w:tc>
          <w:tcPr>
            <w:tcW w:w="7875" w:type="dxa"/>
          </w:tcPr>
          <w:p>
            <w:r>
              <w:t>Особенности и строение</w:t>
            </w:r>
          </w:p>
        </w:tc>
        <w:tc>
          <w:tcPr>
            <w:tcW w:w="2985" w:type="dxa"/>
          </w:tcPr>
          <w:p>
            <w:r>
              <w:t>Ферменты</w:t>
            </w:r>
          </w:p>
        </w:tc>
        <w:tc>
          <w:tcPr>
            <w:tcW w:w="2008" w:type="dxa"/>
          </w:tcPr>
          <w:p>
            <w:r>
              <w:t>Превращения</w:t>
            </w:r>
          </w:p>
        </w:tc>
      </w:tr>
      <w:tr>
        <w:trPr>
          <w:gridBefore w:val="0"/>
          <w:gridAfter w:val="0"/>
        </w:trPr>
        <w:tc>
          <w:tcPr>
            <w:tcW w:w="14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желудок</w:t>
            </w:r>
          </w:p>
        </w:tc>
        <w:tc>
          <w:tcPr>
            <w:tcW w:w="7875" w:type="dxa"/>
          </w:tcPr>
          <w:p>
            <w:pPr>
              <w:keepNext w:val="0"/>
              <w:widowControl w:val="1"/>
              <w:shd w:val="clear" w:fill="auto"/>
              <w:spacing w:lineRule="auto" w:line="216" w:before="0" w:after="0" w:beforeAutospacing="0" w:afterAutospacing="0"/>
              <w:ind w:firstLine="0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bookmarkStart w:id="0" w:name="_dx_frag_StartFragment"/>
            <w:bookmarkEnd w:id="0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-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полый мышечный орган, расположенный в левом подреберье.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Объём пустого желудка составляет около 500 мл. Стенка желудка способна к сильному растяжению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bookmarkStart w:id="1" w:name="_dx_frag_StartFragment"/>
            <w:bookmarkEnd w:id="1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Стенка желудка образована тремя оболочками: слизистой, мышечной и серозной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bookmarkStart w:id="2" w:name="_dx_frag_StartFragment"/>
            <w:bookmarkEnd w:id="2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Слизистая оболочка желудка имеет многочисленные складки.</w:t>
            </w:r>
            <w:r>
              <w:rPr>
                <w:rFonts w:ascii="Calibri" w:hAnsi="Calibri"/>
                <w:b w:val="0"/>
                <w:color w:val="000000"/>
                <w:sz w:val="24"/>
              </w:rPr>
              <w:t xml:space="preserve"> 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bookmarkStart w:id="3" w:name="_dx_frag_StartFragment"/>
            <w:bookmarkEnd w:id="3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Мышечная оболочка образована тремя толстыми слоями гладкой мышечной ткани.</w:t>
            </w:r>
            <w:r>
              <w:rPr>
                <w:rFonts w:ascii="Calibri" w:hAnsi="Calibri"/>
                <w:b w:val="0"/>
                <w:color w:val="000000"/>
                <w:sz w:val="24"/>
              </w:rPr>
              <w:t xml:space="preserve"> 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bookmarkStart w:id="4" w:name="_dx_frag_StartFragment"/>
            <w:bookmarkEnd w:id="4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Наружная очень прочная серозная оболочка желудка образована соединительной тканью.</w:t>
            </w:r>
            <w:r>
              <w:rPr>
                <w:rFonts w:ascii="Calibri" w:hAnsi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пепсин</w:t>
            </w:r>
            <w:r>
              <w:t>, липаза</w:t>
            </w:r>
          </w:p>
        </w:tc>
        <w:tc>
          <w:tcPr>
            <w:tcW w:w="2008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расщепление белков</w:t>
            </w:r>
          </w:p>
        </w:tc>
      </w:tr>
      <w:tr>
        <w:trPr>
          <w:gridBefore w:val="0"/>
          <w:gridAfter w:val="0"/>
        </w:trPr>
        <w:tc>
          <w:tcPr>
            <w:tcW w:w="14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тонкий кишечник</w:t>
            </w:r>
          </w:p>
        </w:tc>
        <w:tc>
          <w:tcPr>
            <w:tcW w:w="7875" w:type="dxa"/>
          </w:tcPr>
          <w:p>
            <w:pPr>
              <w:keepNext w:val="0"/>
              <w:widowControl w:val="1"/>
              <w:shd w:val="clear" w:fill="auto"/>
              <w:spacing w:lineRule="auto" w:line="216" w:before="0" w:after="0" w:beforeAutospacing="0" w:afterAutospacing="0"/>
              <w:ind w:firstLine="0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bookmarkStart w:id="5" w:name="_dx_frag_StartFragment"/>
            <w:bookmarkEnd w:id="5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Длина тонкой кишки составляет приблизительно 5 — 6 м.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Тонкая кишка разделена на 3 отдела: двенадцатиперстную, тощую и подвздошную кишку.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bookmarkStart w:id="6" w:name="_dx_frag_StartFragment"/>
            <w:bookmarkEnd w:id="6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Слизистая оболочка тонкой кишки образует ворсинки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. </w:t>
            </w:r>
            <w:bookmarkStart w:id="7" w:name="_dx_frag_StartFragment"/>
            <w:bookmarkEnd w:id="7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В каждую кишечную ворсинку входит кровеносный и лимфатический сосуд. Именно в них попадают питательные вещества, а затем разносятся по организму.</w:t>
            </w:r>
            <w:r>
              <w:rPr>
                <w:rFonts w:ascii="Calibri" w:hAnsi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амилаза,</w:t>
            </w:r>
            <w:r>
              <w:t xml:space="preserve"> трипсин, </w:t>
            </w:r>
            <w:r>
              <w:t xml:space="preserve">липаза, </w:t>
            </w:r>
            <w:r>
              <w:t>химотрипсин, лактаза, нуклеаз</w:t>
            </w:r>
            <w:r>
              <w:t>ы</w:t>
            </w:r>
          </w:p>
        </w:tc>
        <w:tc>
          <w:tcPr>
            <w:tcW w:w="2008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всасывание белков, углеводов и жиров</w:t>
            </w:r>
          </w:p>
        </w:tc>
      </w:tr>
      <w:tr>
        <w:trPr>
          <w:gridBefore w:val="0"/>
          <w:gridAfter w:val="0"/>
        </w:trPr>
        <w:tc>
          <w:tcPr>
            <w:tcW w:w="14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толст</w:t>
            </w:r>
            <w:r>
              <w:t>ый кише</w:t>
            </w:r>
            <w:r>
              <w:t>чник</w:t>
            </w:r>
          </w:p>
        </w:tc>
        <w:tc>
          <w:tcPr>
            <w:tcW w:w="7875" w:type="dxa"/>
          </w:tcPr>
          <w:p>
            <w:pPr>
              <w:keepNext w:val="0"/>
              <w:widowControl w:val="1"/>
              <w:shd w:val="clear" w:fill="auto"/>
              <w:spacing w:lineRule="auto" w:line="216" w:before="0" w:after="0" w:beforeAutospacing="0" w:afterAutospacing="0"/>
              <w:ind w:firstLine="0" w:left="0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bookmarkStart w:id="8" w:name="_dx_frag_StartFragment"/>
            <w:bookmarkEnd w:id="8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Стенки толстой кишки состоят из трех оболочек: слизистой, мышечной и соединительнотканной.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ind w:firstLine="0" w:lef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Мышечная оболочка состоит из гладкомышечных волокон, которые волнообразно сокращаются (перистальтика) и не подчиняются воле человека.</w:t>
            </w:r>
          </w:p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  <w:ind w:firstLine="0" w:left="0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bookmarkStart w:id="9" w:name="_dx_frag_StartFragment"/>
            <w:bookmarkEnd w:id="9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На границе толстой и тонкой кишок расположен сфинктер.</w:t>
            </w:r>
            <w:r>
              <w:rPr>
                <w:rFonts w:ascii="Calibri" w:hAnsi="Calibri"/>
                <w:b w:val="0"/>
                <w:color w:val="000000"/>
                <w:sz w:val="24"/>
              </w:rPr>
              <w:t xml:space="preserve"> </w:t>
            </w:r>
          </w:p>
          <w:p>
            <w:pPr>
              <w:keepNext w:val="0"/>
              <w:widowControl w:val="1"/>
              <w:shd w:val="clear" w:fill="auto"/>
              <w:spacing w:lineRule="auto" w:line="216" w:before="0" w:after="0" w:beforeAutospacing="0" w:afterAutospacing="0"/>
              <w:ind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bookmarkStart w:id="10" w:name="_dx_frag_StartFragment"/>
            <w:bookmarkEnd w:id="10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В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состав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 толстой кишки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 входят:</w:t>
            </w:r>
          </w:p>
          <w:p>
            <w:pPr>
              <w:keepNext w:val="0"/>
              <w:widowControl w:val="1"/>
              <w:numPr>
                <w:ilvl w:val="0"/>
                <w:numId w:val="1"/>
              </w:numPr>
              <w:shd w:val="clear" w:fill="auto"/>
              <w:spacing w:lineRule="auto" w:line="216" w:before="0" w:after="120" w:beforeAutospacing="0" w:afterAutospacing="0"/>
              <w:ind w:hanging="135" w:left="135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слепая кишка с червеобразным отростком </w:t>
            </w:r>
          </w:p>
          <w:p>
            <w:pPr>
              <w:keepNext w:val="0"/>
              <w:widowControl w:val="1"/>
              <w:numPr>
                <w:ilvl w:val="0"/>
                <w:numId w:val="1"/>
              </w:numPr>
              <w:shd w:val="clear" w:fill="auto"/>
              <w:spacing w:lineRule="auto" w:line="216" w:before="0" w:after="120" w:beforeAutospacing="0" w:afterAutospacing="0"/>
              <w:ind w:hanging="135" w:left="135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ободочная кишка, </w:t>
            </w:r>
          </w:p>
          <w:p>
            <w:pPr>
              <w:keepNext w:val="0"/>
              <w:widowControl w:val="1"/>
              <w:numPr>
                <w:ilvl w:val="0"/>
                <w:numId w:val="1"/>
              </w:numPr>
              <w:shd w:val="clear" w:fill="auto"/>
              <w:spacing w:lineRule="auto" w:line="216" w:before="0" w:after="120" w:beforeAutospacing="0" w:afterAutospacing="0"/>
              <w:ind w:hanging="135" w:left="135" w:right="0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На границе слепой кишки и восходящего отдела ободочной кишки в толстую кишку впадает подвздошная кишка.</w:t>
            </w:r>
          </w:p>
          <w:p>
            <w:pPr>
              <w:keepNext w:val="0"/>
              <w:widowControl w:val="1"/>
              <w:numPr>
                <w:ilvl w:val="0"/>
                <w:numId w:val="2"/>
              </w:numPr>
              <w:shd w:val="clear" w:fill="auto"/>
              <w:spacing w:lineRule="auto" w:line="216" w:before="0" w:after="0" w:beforeAutospacing="0" w:afterAutospacing="0"/>
              <w:ind w:hanging="135" w:left="135" w:right="495"/>
              <w:jc w:val="both"/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прямая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кишка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 xml:space="preserve"> сфинктером и анальным отверстием.</w:t>
            </w:r>
          </w:p>
          <w:p>
            <w:pPr>
              <w:keepNext w:val="0"/>
              <w:widowControl w:val="1"/>
              <w:numPr>
                <w:ilvl w:val="0"/>
                <w:numId w:val="2"/>
              </w:numPr>
              <w:shd w:val="clear" w:fill="auto"/>
              <w:spacing w:lineRule="auto" w:line="216" w:beforeAutospacing="0" w:afterAutospacing="0"/>
              <w:ind w:hanging="135" w:left="135"/>
              <w:jc w:val="both"/>
              <w:rPr>
                <w:rFonts w:ascii="Calibri" w:hAnsi="Calibri"/>
                <w:b w:val="0"/>
                <w:color w:val="000000"/>
                <w:sz w:val="24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длина толстой кишки у человека составляет около 2 метров. </w:t>
            </w:r>
          </w:p>
        </w:tc>
        <w:tc>
          <w:tcPr>
            <w:tcW w:w="2985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пепти</w:t>
            </w:r>
            <w:r>
              <w:t>д</w:t>
            </w:r>
            <w:r>
              <w:t>азы</w:t>
            </w:r>
            <w:r>
              <w:t>, липаз</w:t>
            </w:r>
            <w:r>
              <w:t>а</w:t>
            </w:r>
            <w:r>
              <w:t>, амилаза</w:t>
            </w:r>
            <w:r>
              <w:t>, нуклеаза, катепсин</w:t>
            </w:r>
          </w:p>
        </w:tc>
        <w:tc>
          <w:tcPr>
            <w:tcW w:w="2008" w:type="dxa"/>
          </w:tcPr>
          <w:p>
            <w:pPr>
              <w:keepNext w:val="0"/>
              <w:widowControl w:val="1"/>
              <w:shd w:val="clear" w:fill="auto"/>
              <w:spacing w:lineRule="auto" w:line="216" w:beforeAutospacing="0" w:afterAutospacing="0"/>
            </w:pPr>
            <w:r>
              <w:t>гидролиз клетчатки, всасывание клетчатки и во</w:t>
            </w:r>
            <w:r>
              <w:t>ды, формирование к</w:t>
            </w:r>
            <w:r>
              <w:t>аловых масс</w:t>
            </w:r>
          </w:p>
        </w:tc>
      </w:tr>
    </w:tbl>
    <w:p/>
    <w:sectPr>
      <w:type w:val="nextPage"/>
      <w:pgSz w:w="15840" w:h="12240" w:orient="landscape"/>
      <w:pgMar w:left="1700" w:right="850" w:top="458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4FF5D73"/>
    <w:multiLevelType w:val="hybridMultilevel"/>
    <w:lvl w:ilvl="0" w:tplc="4845349B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DA4F7A3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27BCEB5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1AE364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A7335BD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2721136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F36D21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9BD9EA3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A29F944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6CC86141"/>
    <w:multiLevelType w:val="hybridMultilevel"/>
    <w:lvl w:ilvl="0" w:tplc="5DA37BFE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5D5D6F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1178F8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585E4F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2C523080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50ED433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421D6A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8BBFFD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74E4E0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0C1FEE4A"/>
    <w:multiLevelType w:val="hybridMultilevel"/>
    <w:lvl w:ilvl="0" w:tplc="259B66B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4CB92AF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5C1B00C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CC90306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D3B4EA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2BC1509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8C264FB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5E36304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7C064A2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