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drawings/drawing1.xml" ContentType="application/vnd.openxmlformats-officedocument.drawingml.chartshap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charts/chart2.xml" ContentType="application/vnd.openxmlformats-officedocument.drawingml.chart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679" w:rsidRDefault="00207382">
      <w:r>
        <w:rPr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452679" w:rsidSect="004526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822" w:rsidRDefault="00115822" w:rsidP="00207382">
      <w:pPr>
        <w:spacing w:after="0" w:line="240" w:lineRule="auto"/>
      </w:pPr>
      <w:r>
        <w:separator/>
      </w:r>
    </w:p>
  </w:endnote>
  <w:endnote w:type="continuationSeparator" w:id="0">
    <w:p w:rsidR="00115822" w:rsidRDefault="00115822" w:rsidP="0020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382" w:rsidRDefault="0020738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133" w:rsidRDefault="00207382">
    <w:pPr>
      <w:pStyle w:val="a7"/>
      <w:rPr>
        <w:b/>
        <w:sz w:val="40"/>
        <w:szCs w:val="40"/>
      </w:rPr>
    </w:pPr>
    <w:r>
      <w:rPr>
        <w:b/>
        <w:sz w:val="40"/>
        <w:szCs w:val="40"/>
      </w:rPr>
      <w:t xml:space="preserve">                    </w:t>
    </w:r>
    <w:r w:rsidRPr="00207382">
      <w:rPr>
        <w:b/>
        <w:sz w:val="40"/>
        <w:szCs w:val="40"/>
      </w:rPr>
      <w:t>Столбчатая диаграмма</w:t>
    </w:r>
  </w:p>
  <w:p w:rsidR="00156133" w:rsidRDefault="00156133">
    <w:pPr>
      <w:pStyle w:val="a7"/>
      <w:rPr>
        <w:b/>
        <w:sz w:val="40"/>
        <w:szCs w:val="40"/>
      </w:rPr>
    </w:pPr>
  </w:p>
  <w:p w:rsidR="00207382" w:rsidRPr="00207382" w:rsidRDefault="00207382">
    <w:pPr>
      <w:pStyle w:val="a7"/>
      <w:rPr>
        <w:b/>
        <w:sz w:val="40"/>
        <w:szCs w:val="40"/>
      </w:rPr>
    </w:pPr>
    <w:r>
      <w:rPr>
        <w:b/>
        <w:noProof/>
        <w:sz w:val="40"/>
        <w:szCs w:val="40"/>
        <w:lang w:eastAsia="ru-RU"/>
      </w:rPr>
      <w:drawing>
        <wp:inline distT="0" distB="0" distL="0" distR="0">
          <wp:extent cx="5486400" cy="3200400"/>
          <wp:effectExtent l="19050" t="0" r="19050" b="0"/>
          <wp:docPr id="4" name="Диаграмма 3"/>
          <wp:cNvGraphicFramePr/>
          <a:graphic xmlns:a="http://schemas.openxmlformats.org/drawingml/2006/main">
            <a:graphicData uri="http://schemas.openxmlformats.org/drawingml/2006/chart">
              <c:chart xmlns:c="http://schemas.openxmlformats.org/drawingml/2006/chart" xmlns:r="http://schemas.openxmlformats.org/officeDocument/2006/relationships" r:id="rId1"/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382" w:rsidRDefault="0020738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822" w:rsidRDefault="00115822" w:rsidP="00207382">
      <w:pPr>
        <w:spacing w:after="0" w:line="240" w:lineRule="auto"/>
      </w:pPr>
      <w:r>
        <w:separator/>
      </w:r>
    </w:p>
  </w:footnote>
  <w:footnote w:type="continuationSeparator" w:id="0">
    <w:p w:rsidR="00115822" w:rsidRDefault="00115822" w:rsidP="00207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382" w:rsidRDefault="0020738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382" w:rsidRPr="00207382" w:rsidRDefault="00207382">
    <w:pPr>
      <w:pStyle w:val="a5"/>
      <w:rPr>
        <w:b/>
        <w:sz w:val="36"/>
        <w:szCs w:val="36"/>
        <w:vertAlign w:val="superscript"/>
      </w:rPr>
    </w:pPr>
    <w:r>
      <w:rPr>
        <w:b/>
        <w:sz w:val="36"/>
        <w:szCs w:val="36"/>
      </w:rPr>
      <w:t xml:space="preserve">                             </w:t>
    </w:r>
    <w:r w:rsidRPr="00207382">
      <w:rPr>
        <w:b/>
        <w:sz w:val="36"/>
        <w:szCs w:val="36"/>
      </w:rPr>
      <w:t>Круговая диаграмма</w:t>
    </w:r>
  </w:p>
  <w:p w:rsidR="00207382" w:rsidRPr="00207382" w:rsidRDefault="00207382">
    <w:pPr>
      <w:pStyle w:val="a5"/>
      <w:rPr>
        <w:b/>
        <w:sz w:val="36"/>
        <w:szCs w:val="3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382" w:rsidRDefault="0020738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207382"/>
    <w:rsid w:val="00115822"/>
    <w:rsid w:val="00156133"/>
    <w:rsid w:val="00207382"/>
    <w:rsid w:val="00452679"/>
    <w:rsid w:val="00615BBB"/>
    <w:rsid w:val="00616D79"/>
    <w:rsid w:val="007B20B0"/>
    <w:rsid w:val="00ED5CA2"/>
    <w:rsid w:val="00EF36AE"/>
    <w:rsid w:val="00F03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738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07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07382"/>
  </w:style>
  <w:style w:type="paragraph" w:styleId="a7">
    <w:name w:val="footer"/>
    <w:basedOn w:val="a"/>
    <w:link w:val="a8"/>
    <w:uiPriority w:val="99"/>
    <w:semiHidden/>
    <w:unhideWhenUsed/>
    <w:rsid w:val="00207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073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Плотность населения (на км</a:t>
            </a:r>
            <a:r>
              <a:rPr lang="ru-RU" baseline="30000"/>
              <a:t>2)</a:t>
            </a:r>
            <a:endParaRPr lang="ru-RU"/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Плотность населения</c:v>
                </c:pt>
              </c:strCache>
            </c:strRef>
          </c:tx>
          <c:dLbls>
            <c:dLbl>
              <c:idx val="5"/>
              <c:layout>
                <c:manualLayout>
                  <c:x val="0.10877715806357541"/>
                  <c:y val="1.6059242594675661E-2"/>
                </c:manualLayout>
              </c:layout>
              <c:showCatName val="1"/>
              <c:showPercent val="1"/>
            </c:dLbl>
            <c:showCatName val="1"/>
            <c:showPercent val="1"/>
            <c:showLeaderLines val="1"/>
          </c:dLbls>
          <c:cat>
            <c:strRef>
              <c:f>Лист1!$A$2:$A$7</c:f>
              <c:strCache>
                <c:ptCount val="6"/>
                <c:pt idx="0">
                  <c:v>Китай</c:v>
                </c:pt>
                <c:pt idx="1">
                  <c:v>Япония</c:v>
                </c:pt>
                <c:pt idx="2">
                  <c:v>Россия</c:v>
                </c:pt>
                <c:pt idx="3">
                  <c:v>Индия</c:v>
                </c:pt>
                <c:pt idx="4">
                  <c:v>США</c:v>
                </c:pt>
                <c:pt idx="5">
                  <c:v>Австралия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138</c:v>
                </c:pt>
                <c:pt idx="1">
                  <c:v>332</c:v>
                </c:pt>
                <c:pt idx="2">
                  <c:v>8.5</c:v>
                </c:pt>
                <c:pt idx="3">
                  <c:v>422</c:v>
                </c:pt>
                <c:pt idx="4">
                  <c:v>34</c:v>
                </c:pt>
                <c:pt idx="5">
                  <c:v>2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Китай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Плотность населения (в квад. Км)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138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Япония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Плотность населения (в квад. Км)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332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Россия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Плотность населения (в квад. Км)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8.5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Индия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Плотность населения (в квад. Км)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422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США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Плотность населения (в квад. Км)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34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Австралия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Плотность населения (в квад. Км)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axId val="66980096"/>
        <c:axId val="83558400"/>
      </c:barChart>
      <c:catAx>
        <c:axId val="66980096"/>
        <c:scaling>
          <c:orientation val="minMax"/>
        </c:scaling>
        <c:delete val="1"/>
        <c:axPos val="b"/>
        <c:tickLblPos val="none"/>
        <c:crossAx val="83558400"/>
        <c:crosses val="autoZero"/>
        <c:auto val="1"/>
        <c:lblAlgn val="ctr"/>
        <c:lblOffset val="100"/>
      </c:catAx>
      <c:valAx>
        <c:axId val="83558400"/>
        <c:scaling>
          <c:orientation val="minMax"/>
        </c:scaling>
        <c:axPos val="l"/>
        <c:majorGridlines/>
        <c:numFmt formatCode="General" sourceLinked="1"/>
        <c:tickLblPos val="nextTo"/>
        <c:crossAx val="66980096"/>
        <c:crosses val="autoZero"/>
        <c:crossBetween val="between"/>
      </c:valAx>
    </c:plotArea>
    <c:legend>
      <c:legendPos val="r"/>
    </c:legend>
    <c:plotVisOnly val="1"/>
  </c:chart>
  <c:externalData r:id="rId1"/>
  <c:userShapes r:id="rId2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0.24057</cdr:x>
      <cdr:y>0</cdr:y>
    </cdr:from>
    <cdr:to>
      <cdr:x>0.72137</cdr:x>
      <cdr:y>0.09373</cdr:y>
    </cdr:to>
    <cdr:pic>
      <cdr:nvPicPr>
        <cdr:cNvPr id="4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1319843" y="-196444"/>
          <a:ext cx="2637886" cy="299960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Дэнис</dc:creator>
  <cp:keywords/>
  <dc:description/>
  <cp:lastModifiedBy>Дэнис</cp:lastModifiedBy>
  <cp:revision>4</cp:revision>
  <dcterms:created xsi:type="dcterms:W3CDTF">2020-05-18T01:18:00Z</dcterms:created>
  <dcterms:modified xsi:type="dcterms:W3CDTF">2020-05-18T01:31:00Z</dcterms:modified>
</cp:coreProperties>
</file>