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1852D4" w:rsidTr="001852D4">
        <w:trPr>
          <w:trHeight w:val="699"/>
        </w:trPr>
        <w:tc>
          <w:tcPr>
            <w:tcW w:w="2405" w:type="dxa"/>
            <w:shd w:val="clear" w:color="auto" w:fill="FFE599" w:themeFill="accent4" w:themeFillTint="66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Критерії порівняння</w:t>
            </w:r>
          </w:p>
        </w:tc>
        <w:tc>
          <w:tcPr>
            <w:tcW w:w="3825" w:type="dxa"/>
            <w:shd w:val="clear" w:color="auto" w:fill="FFE599" w:themeFill="accent4" w:themeFillTint="66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Русь-Україна</w:t>
            </w:r>
          </w:p>
        </w:tc>
        <w:tc>
          <w:tcPr>
            <w:tcW w:w="3115" w:type="dxa"/>
            <w:shd w:val="clear" w:color="auto" w:fill="FFE599" w:themeFill="accent4" w:themeFillTint="66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Королівство Руське</w:t>
            </w:r>
          </w:p>
        </w:tc>
      </w:tr>
      <w:tr w:rsidR="001852D4" w:rsidRPr="001852D4" w:rsidTr="001852D4">
        <w:trPr>
          <w:trHeight w:val="694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Територія</w:t>
            </w:r>
          </w:p>
        </w:tc>
        <w:tc>
          <w:tcPr>
            <w:tcW w:w="3825" w:type="dxa"/>
            <w:shd w:val="clear" w:color="auto" w:fill="FFF2CC" w:themeFill="accent4" w:themeFillTint="33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1852D4">
              <w:rPr>
                <w:lang w:val="uk-UA"/>
              </w:rPr>
              <w:t>ериторія сучасної Київської, Житомирської, Черкаської та Чернігівської областей.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1852D4" w:rsidRP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1852D4">
              <w:rPr>
                <w:lang w:val="uk-UA"/>
              </w:rPr>
              <w:t>ростягалися в басейнах рік Сяну, Верхнього Дністра та Західного Бугу. На південному заході ця територія мала природну межу — гори Карпати.</w:t>
            </w:r>
          </w:p>
        </w:tc>
      </w:tr>
      <w:tr w:rsidR="001852D4" w:rsidTr="001852D4">
        <w:trPr>
          <w:trHeight w:val="687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:rsid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Зовнішні вороги</w:t>
            </w:r>
          </w:p>
          <w:p w:rsidR="001852D4" w:rsidRPr="001852D4" w:rsidRDefault="001852D4" w:rsidP="001852D4">
            <w:pPr>
              <w:jc w:val="center"/>
              <w:rPr>
                <w:lang w:val="uk-UA"/>
              </w:rPr>
            </w:pPr>
          </w:p>
        </w:tc>
        <w:tc>
          <w:tcPr>
            <w:tcW w:w="3825" w:type="dxa"/>
            <w:shd w:val="clear" w:color="auto" w:fill="FFF2CC" w:themeFill="accent4" w:themeFillTint="33"/>
            <w:vAlign w:val="center"/>
          </w:tcPr>
          <w:p w:rsidR="001852D4" w:rsidRPr="00B226A1" w:rsidRDefault="00B226A1" w:rsidP="001852D4">
            <w:pPr>
              <w:jc w:val="center"/>
              <w:rPr>
                <w:lang w:val="uk-UA"/>
              </w:rPr>
            </w:pPr>
            <w:r w:rsidRPr="00B226A1">
              <w:rPr>
                <w:lang w:val="uk-UA"/>
              </w:rPr>
              <w:t>Печеніги, половці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1852D4" w:rsidRPr="0036577E" w:rsidRDefault="001852D4" w:rsidP="001852D4">
            <w:pPr>
              <w:jc w:val="center"/>
              <w:rPr>
                <w:lang w:val="uk-UA"/>
              </w:rPr>
            </w:pPr>
            <w:bookmarkStart w:id="0" w:name="_GoBack"/>
            <w:r w:rsidRPr="0036577E">
              <w:rPr>
                <w:lang w:val="uk-UA"/>
              </w:rPr>
              <w:t>Головними ворогами (конкурентами) були Польща, Угорщина</w:t>
            </w:r>
            <w:bookmarkEnd w:id="0"/>
          </w:p>
        </w:tc>
      </w:tr>
      <w:tr w:rsidR="001852D4" w:rsidRPr="00B226A1" w:rsidTr="001852D4">
        <w:trPr>
          <w:trHeight w:val="687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:rsid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Освіта і писемність</w:t>
            </w:r>
          </w:p>
        </w:tc>
        <w:tc>
          <w:tcPr>
            <w:tcW w:w="3825" w:type="dxa"/>
            <w:shd w:val="clear" w:color="auto" w:fill="FFF2CC" w:themeFill="accent4" w:themeFillTint="33"/>
            <w:vAlign w:val="center"/>
          </w:tcPr>
          <w:p w:rsidR="001852D4" w:rsidRPr="0036577E" w:rsidRDefault="00B226A1" w:rsidP="0036577E">
            <w:pPr>
              <w:jc w:val="center"/>
            </w:pPr>
            <w:r w:rsidRPr="00B226A1">
              <w:rPr>
                <w:lang w:val="uk-UA"/>
              </w:rPr>
              <w:t>Місцеве населення користувалося абеткою з 27 літер, з яких 23 відповідали грецькому алфавіту, а 4 (Б, Ж, Ш, Щ) мали слов’янське походження</w:t>
            </w:r>
            <w:r w:rsidR="0036577E">
              <w:rPr>
                <w:lang w:val="uk-UA"/>
              </w:rPr>
              <w:t xml:space="preserve">. </w:t>
            </w:r>
            <w:r w:rsidR="0036577E" w:rsidRPr="0036577E">
              <w:rPr>
                <w:lang w:val="uk-UA"/>
              </w:rPr>
              <w:t>Доказом існування власної оригінальної абетки в давніх українців є знахідка напису на стінах Софійського собору.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B226A1" w:rsidRPr="0036577E" w:rsidRDefault="00B226A1" w:rsidP="00B226A1">
            <w:pPr>
              <w:jc w:val="center"/>
              <w:rPr>
                <w:lang w:val="uk-UA"/>
              </w:rPr>
            </w:pPr>
            <w:r w:rsidRPr="0036577E">
              <w:rPr>
                <w:lang w:val="uk-UA"/>
              </w:rPr>
              <w:t xml:space="preserve">вже в другій половині 9 – на початку 10 ст. існувало письмо. </w:t>
            </w:r>
            <w:r w:rsidRPr="0036577E">
              <w:rPr>
                <w:lang w:val="uk-UA"/>
              </w:rPr>
              <w:t xml:space="preserve">До нашого часу від доби Київської Русі та Галицько-Волинської держави </w:t>
            </w:r>
            <w:proofErr w:type="spellStart"/>
            <w:r w:rsidRPr="0036577E">
              <w:rPr>
                <w:lang w:val="uk-UA"/>
              </w:rPr>
              <w:t>збереглося</w:t>
            </w:r>
            <w:proofErr w:type="spellEnd"/>
            <w:r w:rsidRPr="0036577E">
              <w:rPr>
                <w:lang w:val="uk-UA"/>
              </w:rPr>
              <w:t xml:space="preserve"> дуже мало книг.</w:t>
            </w:r>
          </w:p>
          <w:p w:rsidR="001852D4" w:rsidRPr="00B226A1" w:rsidRDefault="00B226A1" w:rsidP="00B226A1">
            <w:pPr>
              <w:jc w:val="center"/>
              <w:rPr>
                <w:lang w:val="uk-UA"/>
              </w:rPr>
            </w:pPr>
            <w:r w:rsidRPr="0036577E">
              <w:rPr>
                <w:lang w:val="uk-UA"/>
              </w:rPr>
              <w:t xml:space="preserve">Найдавнішими, з-поміж них, є </w:t>
            </w:r>
            <w:proofErr w:type="spellStart"/>
            <w:r w:rsidRPr="0036577E">
              <w:rPr>
                <w:lang w:val="uk-UA"/>
              </w:rPr>
              <w:t>Реймське</w:t>
            </w:r>
            <w:proofErr w:type="spellEnd"/>
            <w:r w:rsidRPr="0036577E">
              <w:rPr>
                <w:lang w:val="uk-UA"/>
              </w:rPr>
              <w:t xml:space="preserve"> Євангеліє, </w:t>
            </w:r>
            <w:proofErr w:type="spellStart"/>
            <w:r w:rsidRPr="0036577E">
              <w:rPr>
                <w:lang w:val="uk-UA"/>
              </w:rPr>
              <w:t>Остромирове</w:t>
            </w:r>
            <w:proofErr w:type="spellEnd"/>
            <w:r w:rsidRPr="0036577E">
              <w:rPr>
                <w:lang w:val="uk-UA"/>
              </w:rPr>
              <w:t xml:space="preserve"> Євангеліє, «Ізборник Святослава» 1073 р. та «Ізборник» 1076 р., Мстиславове Євангеліє.</w:t>
            </w:r>
          </w:p>
        </w:tc>
      </w:tr>
      <w:tr w:rsidR="001852D4" w:rsidTr="001852D4">
        <w:trPr>
          <w:trHeight w:val="687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:rsid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Літописання</w:t>
            </w:r>
          </w:p>
        </w:tc>
        <w:tc>
          <w:tcPr>
            <w:tcW w:w="3825" w:type="dxa"/>
            <w:shd w:val="clear" w:color="auto" w:fill="FFF2CC" w:themeFill="accent4" w:themeFillTint="33"/>
            <w:vAlign w:val="center"/>
          </w:tcPr>
          <w:p w:rsidR="001852D4" w:rsidRDefault="0036577E" w:rsidP="001852D4">
            <w:pPr>
              <w:jc w:val="center"/>
            </w:pPr>
            <w:r w:rsidRPr="00B226A1">
              <w:rPr>
                <w:lang w:val="uk-UA"/>
              </w:rPr>
              <w:t>. До оригінальних пам’яток давньоукраїнської літератури належать літописи. Це явище видатне не лише в культурному поступі Київської Русі, а й усієї середньовічної Європи.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1852D4" w:rsidRPr="0036577E" w:rsidRDefault="0036577E" w:rsidP="001852D4">
            <w:pPr>
              <w:jc w:val="center"/>
              <w:rPr>
                <w:lang w:val="uk-UA"/>
              </w:rPr>
            </w:pPr>
            <w:proofErr w:type="spellStart"/>
            <w:r w:rsidRPr="0036577E">
              <w:rPr>
                <w:lang w:val="uk-UA"/>
              </w:rPr>
              <w:t>Га́лицько-Воли́нський</w:t>
            </w:r>
            <w:proofErr w:type="spellEnd"/>
            <w:r w:rsidRPr="0036577E">
              <w:rPr>
                <w:lang w:val="uk-UA"/>
              </w:rPr>
              <w:t xml:space="preserve"> </w:t>
            </w:r>
            <w:proofErr w:type="spellStart"/>
            <w:r w:rsidRPr="0036577E">
              <w:rPr>
                <w:lang w:val="uk-UA"/>
              </w:rPr>
              <w:t>літо́пис</w:t>
            </w:r>
            <w:proofErr w:type="spellEnd"/>
            <w:r w:rsidRPr="0036577E">
              <w:rPr>
                <w:lang w:val="uk-UA"/>
              </w:rPr>
              <w:t xml:space="preserve"> — літопис XIII століття, присвячений історії Галичини і Волині. Зберігся в Іпатіївському літописному зведенні. Охоплює події 1201—1292 років. Вважається головним джерелом з історії Галицько-Волинського князівства.</w:t>
            </w:r>
          </w:p>
        </w:tc>
      </w:tr>
      <w:tr w:rsidR="001852D4" w:rsidTr="001852D4">
        <w:trPr>
          <w:trHeight w:val="687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:rsidR="001852D4" w:rsidRDefault="001852D4" w:rsidP="001852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Містобудування і архітектура</w:t>
            </w:r>
          </w:p>
        </w:tc>
        <w:tc>
          <w:tcPr>
            <w:tcW w:w="3825" w:type="dxa"/>
            <w:shd w:val="clear" w:color="auto" w:fill="FFF2CC" w:themeFill="accent4" w:themeFillTint="33"/>
            <w:vAlign w:val="center"/>
          </w:tcPr>
          <w:p w:rsidR="001852D4" w:rsidRPr="0036577E" w:rsidRDefault="0036577E" w:rsidP="001852D4">
            <w:pPr>
              <w:jc w:val="center"/>
              <w:rPr>
                <w:lang w:val="uk-UA"/>
              </w:rPr>
            </w:pPr>
            <w:r w:rsidRPr="0036577E">
              <w:rPr>
                <w:lang w:val="uk-UA"/>
              </w:rPr>
              <w:t xml:space="preserve">Дерев‘яні споруди в містах Київської Русі. Архітектура міст і сіл Київської Русі представлена насамперед дерев'яними спорудами. Археологічні дослідження Києва, Новгорода, Старої Ладоги, Пскова, </w:t>
            </w:r>
            <w:proofErr w:type="spellStart"/>
            <w:r w:rsidRPr="0036577E">
              <w:rPr>
                <w:lang w:val="uk-UA"/>
              </w:rPr>
              <w:t>Звенигорода</w:t>
            </w:r>
            <w:proofErr w:type="spellEnd"/>
            <w:r w:rsidRPr="0036577E">
              <w:rPr>
                <w:lang w:val="uk-UA"/>
              </w:rPr>
              <w:t xml:space="preserve">, інших давньоруських міст виявили численні залишки зрубних будівель, а також різні конструктивні деталі — карнизи, наличники, </w:t>
            </w:r>
            <w:proofErr w:type="spellStart"/>
            <w:r w:rsidRPr="0036577E">
              <w:rPr>
                <w:lang w:val="uk-UA"/>
              </w:rPr>
              <w:t>коньки</w:t>
            </w:r>
            <w:proofErr w:type="spellEnd"/>
            <w:r w:rsidRPr="0036577E">
              <w:rPr>
                <w:lang w:val="uk-UA"/>
              </w:rPr>
              <w:t xml:space="preserve">, колонки, одвірки тощо. Вони свідчать про багатий архітектурний декор </w:t>
            </w:r>
            <w:proofErr w:type="spellStart"/>
            <w:r w:rsidRPr="0036577E">
              <w:rPr>
                <w:lang w:val="uk-UA"/>
              </w:rPr>
              <w:t>жител</w:t>
            </w:r>
            <w:proofErr w:type="spellEnd"/>
            <w:r w:rsidRPr="0036577E">
              <w:rPr>
                <w:lang w:val="uk-UA"/>
              </w:rPr>
              <w:t xml:space="preserve"> давніх русичів (X —XIII ст.). Окремі з них — справжні шедеври народної архітектури.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1852D4" w:rsidRPr="0036577E" w:rsidRDefault="0036577E" w:rsidP="001852D4">
            <w:pPr>
              <w:jc w:val="center"/>
              <w:rPr>
                <w:lang w:val="uk-UA"/>
              </w:rPr>
            </w:pPr>
            <w:r w:rsidRPr="0036577E">
              <w:rPr>
                <w:lang w:val="uk-UA"/>
              </w:rPr>
              <w:t>Кам'яне зодчество у Галицько-Волинському князівстві було дуже поширеним. Міські забудови, оборонні і церковні споруди виконувались досвідченими будівничими. Літопис повідомляє, що, наприклад, міські укріплення на Волині зводив "муж хитрий" Олекса. Археологічні розкопки відкрили багато нових і цікавих матеріалів про архітектуру й мистецтво в Галицько-волинській державі.</w:t>
            </w:r>
          </w:p>
        </w:tc>
      </w:tr>
    </w:tbl>
    <w:p w:rsidR="008A005C" w:rsidRDefault="008A005C"/>
    <w:sectPr w:rsidR="008A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D4"/>
    <w:rsid w:val="001852D4"/>
    <w:rsid w:val="0036577E"/>
    <w:rsid w:val="008A005C"/>
    <w:rsid w:val="00B226A1"/>
    <w:rsid w:val="00E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0E4E"/>
  <w15:chartTrackingRefBased/>
  <w15:docId w15:val="{2A21838E-8B10-45BC-8C93-62DBEC16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2022-05-09T09:27:00Z</dcterms:created>
  <dcterms:modified xsi:type="dcterms:W3CDTF">2022-05-09T09:57:00Z</dcterms:modified>
</cp:coreProperties>
</file>